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9A154" w14:textId="36419C93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360F25">
        <w:rPr>
          <w:rFonts w:hint="eastAsia"/>
          <w:b/>
          <w:sz w:val="24"/>
          <w:szCs w:val="24"/>
          <w:lang w:eastAsia="ko-KR"/>
        </w:rPr>
        <w:t>87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9F151F">
        <w:rPr>
          <w:b/>
          <w:i/>
          <w:noProof/>
          <w:sz w:val="24"/>
          <w:szCs w:val="24"/>
          <w:lang w:eastAsia="ko-KR"/>
        </w:rPr>
        <w:t>1</w:t>
      </w:r>
      <w:r w:rsidR="005E177E">
        <w:rPr>
          <w:b/>
          <w:i/>
          <w:noProof/>
          <w:sz w:val="24"/>
          <w:szCs w:val="24"/>
          <w:lang w:eastAsia="ko-KR"/>
        </w:rPr>
        <w:t>2504</w:t>
      </w:r>
    </w:p>
    <w:bookmarkEnd w:id="0"/>
    <w:bookmarkEnd w:id="1"/>
    <w:p w14:paraId="395EF453" w14:textId="77777777" w:rsidR="006D2ED0" w:rsidRPr="00DD3A0A" w:rsidRDefault="00360F25" w:rsidP="006D2ED0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Reno</w:t>
      </w:r>
      <w:r w:rsidR="00B021C4" w:rsidRPr="00B021C4">
        <w:rPr>
          <w:rFonts w:eastAsia="MS Mincho" w:cs="Arial"/>
          <w:b/>
          <w:bCs/>
          <w:sz w:val="24"/>
          <w:lang w:val="en-US" w:eastAsia="ja-JP"/>
        </w:rPr>
        <w:t xml:space="preserve">, </w:t>
      </w:r>
      <w:r>
        <w:rPr>
          <w:rFonts w:eastAsia="MS Mincho" w:cs="Arial"/>
          <w:b/>
          <w:bCs/>
          <w:sz w:val="24"/>
          <w:lang w:val="en-US" w:eastAsia="ja-JP"/>
        </w:rPr>
        <w:t>USA 14th - 18</w:t>
      </w:r>
      <w:r w:rsidR="00B021C4" w:rsidRPr="00B021C4">
        <w:rPr>
          <w:rFonts w:eastAsia="MS Mincho" w:cs="Arial"/>
          <w:b/>
          <w:bCs/>
          <w:sz w:val="24"/>
          <w:lang w:val="en-US" w:eastAsia="ja-JP"/>
        </w:rPr>
        <w:t xml:space="preserve">th </w:t>
      </w:r>
      <w:r>
        <w:rPr>
          <w:rFonts w:eastAsia="MS Mincho" w:cs="Arial"/>
          <w:b/>
          <w:bCs/>
          <w:sz w:val="24"/>
          <w:lang w:val="en-US" w:eastAsia="ja-JP"/>
        </w:rPr>
        <w:t>November</w:t>
      </w:r>
      <w:r w:rsidR="00B021C4" w:rsidRPr="00B021C4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>201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14:paraId="0ACFE1B5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9F151F">
        <w:rPr>
          <w:rFonts w:ascii="Arial" w:hAnsi="Arial"/>
          <w:sz w:val="24"/>
          <w:lang w:eastAsia="ko-KR"/>
        </w:rPr>
        <w:t>7.1.3</w:t>
      </w:r>
      <w:r w:rsidR="00B021C4">
        <w:rPr>
          <w:rFonts w:ascii="Arial" w:hAnsi="Arial"/>
          <w:sz w:val="24"/>
          <w:lang w:eastAsia="ko-KR"/>
        </w:rPr>
        <w:t>.3</w:t>
      </w:r>
    </w:p>
    <w:p w14:paraId="64129027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731193C" w14:textId="777777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6292F" w:rsidRPr="0016292F">
        <w:rPr>
          <w:rFonts w:ascii="Arial" w:hAnsi="Arial"/>
          <w:sz w:val="24"/>
        </w:rPr>
        <w:t>Codebook design framework for NR MIMO</w:t>
      </w:r>
    </w:p>
    <w:p w14:paraId="71A1F04E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8CD48C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1C2F492" w14:textId="77777777" w:rsidR="00055C55" w:rsidRDefault="00055C55" w:rsidP="006A2D0C">
      <w:pPr>
        <w:pStyle w:val="maintext"/>
        <w:ind w:firstLineChars="0" w:firstLine="0"/>
      </w:pPr>
      <w:r>
        <w:t>In RAN1#8</w:t>
      </w:r>
      <w:r w:rsidR="001D7A27">
        <w:t>6</w:t>
      </w:r>
      <w:r w:rsidR="0049751F">
        <w:t>b</w:t>
      </w:r>
      <w:r w:rsidR="00303977">
        <w:t xml:space="preserve"> [1]</w:t>
      </w:r>
      <w:r>
        <w:t>, the following agreement about CSI acquisition was made.</w:t>
      </w:r>
    </w:p>
    <w:p w14:paraId="5F2D6CAA" w14:textId="77777777" w:rsidR="004124E0" w:rsidRPr="00246DA7" w:rsidRDefault="004124E0" w:rsidP="004124E0">
      <w:pPr>
        <w:snapToGrid w:val="0"/>
        <w:jc w:val="both"/>
        <w:rPr>
          <w:rFonts w:eastAsia="MS Mincho"/>
          <w:b/>
          <w:highlight w:val="green"/>
          <w:u w:val="single"/>
          <w:lang w:val="en-US" w:eastAsia="ja-JP"/>
        </w:rPr>
      </w:pPr>
      <w:r w:rsidRPr="00246DA7">
        <w:rPr>
          <w:rFonts w:eastAsia="MS Mincho"/>
          <w:b/>
          <w:highlight w:val="green"/>
          <w:u w:val="single"/>
          <w:lang w:val="en-US" w:eastAsia="ja-JP"/>
        </w:rPr>
        <w:t>Agreements:</w:t>
      </w:r>
    </w:p>
    <w:p w14:paraId="6CAE97B0" w14:textId="77777777" w:rsidR="004124E0" w:rsidRPr="00103434" w:rsidRDefault="004124E0" w:rsidP="004124E0">
      <w:pPr>
        <w:numPr>
          <w:ilvl w:val="3"/>
          <w:numId w:val="38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NR supports CSI reporting with two types of spatial information feedback</w:t>
      </w:r>
    </w:p>
    <w:p w14:paraId="00FE244A" w14:textId="77777777" w:rsidR="004124E0" w:rsidRPr="00103434" w:rsidRDefault="004124E0" w:rsidP="004124E0">
      <w:pPr>
        <w:numPr>
          <w:ilvl w:val="4"/>
          <w:numId w:val="38"/>
        </w:numPr>
        <w:tabs>
          <w:tab w:val="clear" w:pos="3600"/>
        </w:tabs>
        <w:snapToGrid w:val="0"/>
        <w:spacing w:after="0"/>
        <w:ind w:left="108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 xml:space="preserve">Type I feedback: Normal </w:t>
      </w:r>
    </w:p>
    <w:p w14:paraId="30C2ED58" w14:textId="77777777" w:rsidR="004124E0" w:rsidRPr="00103434" w:rsidRDefault="004124E0" w:rsidP="004124E0">
      <w:pPr>
        <w:numPr>
          <w:ilvl w:val="1"/>
          <w:numId w:val="38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Codebook-based PMI feedback with normal spatial resolution</w:t>
      </w:r>
    </w:p>
    <w:p w14:paraId="4118273B" w14:textId="77777777" w:rsidR="004124E0" w:rsidRPr="00103434" w:rsidRDefault="004124E0" w:rsidP="004124E0">
      <w:pPr>
        <w:numPr>
          <w:ilvl w:val="4"/>
          <w:numId w:val="38"/>
        </w:numPr>
        <w:tabs>
          <w:tab w:val="clear" w:pos="3600"/>
        </w:tabs>
        <w:snapToGrid w:val="0"/>
        <w:spacing w:after="0"/>
        <w:ind w:left="108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 xml:space="preserve">Type II feedback: Enhanced </w:t>
      </w:r>
    </w:p>
    <w:p w14:paraId="56A5D4BE" w14:textId="77777777" w:rsidR="004124E0" w:rsidRPr="00103434" w:rsidRDefault="004124E0" w:rsidP="004124E0">
      <w:pPr>
        <w:numPr>
          <w:ilvl w:val="1"/>
          <w:numId w:val="38"/>
        </w:numPr>
        <w:snapToGrid w:val="0"/>
        <w:spacing w:after="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 xml:space="preserve">“Explicit” feedback and/or codebook-based feedback with higher spatial resolution </w:t>
      </w:r>
    </w:p>
    <w:p w14:paraId="32DF5823" w14:textId="77777777" w:rsidR="004124E0" w:rsidRPr="00103434" w:rsidRDefault="004124E0" w:rsidP="004124E0">
      <w:pPr>
        <w:numPr>
          <w:ilvl w:val="3"/>
          <w:numId w:val="38"/>
        </w:numPr>
        <w:tabs>
          <w:tab w:val="clear" w:pos="2880"/>
          <w:tab w:val="num" w:pos="360"/>
        </w:tabs>
        <w:snapToGrid w:val="0"/>
        <w:spacing w:after="0"/>
        <w:ind w:left="36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For Type I and II, CSI feedback per subband as well as wideband feedback are supported</w:t>
      </w:r>
    </w:p>
    <w:p w14:paraId="3D450BC2" w14:textId="77777777" w:rsidR="004124E0" w:rsidRPr="00403FD2" w:rsidRDefault="004124E0" w:rsidP="004124E0">
      <w:pPr>
        <w:numPr>
          <w:ilvl w:val="3"/>
          <w:numId w:val="38"/>
        </w:numPr>
        <w:tabs>
          <w:tab w:val="clear" w:pos="2880"/>
          <w:tab w:val="num" w:pos="360"/>
        </w:tabs>
        <w:snapToGrid w:val="0"/>
        <w:spacing w:after="120"/>
        <w:ind w:left="360"/>
        <w:jc w:val="both"/>
        <w:rPr>
          <w:rFonts w:eastAsia="MS Mincho"/>
          <w:lang w:val="en-US" w:eastAsia="ja-JP"/>
        </w:rPr>
      </w:pPr>
      <w:r w:rsidRPr="00103434">
        <w:rPr>
          <w:rFonts w:eastAsia="MS Mincho"/>
          <w:lang w:val="en-US" w:eastAsia="ja-JP"/>
        </w:rPr>
        <w:t>For Type I and II, beam-related feedback can be included</w:t>
      </w:r>
    </w:p>
    <w:p w14:paraId="1CE0F189" w14:textId="77777777" w:rsidR="00AD6148" w:rsidRPr="008C3FDD" w:rsidRDefault="006A2D0C" w:rsidP="006A2D0C">
      <w:pPr>
        <w:pStyle w:val="maintext"/>
        <w:ind w:firstLineChars="0" w:firstLine="0"/>
      </w:pPr>
      <w:r>
        <w:t xml:space="preserve">Samsung’s high-level view on CSI acquisition for DL and UL NR MIMO is presented in companion contributions [2-3]. </w:t>
      </w:r>
      <w:r w:rsidR="00C6489F" w:rsidRPr="008C3FDD">
        <w:t xml:space="preserve">This contribution </w:t>
      </w:r>
      <w:r w:rsidR="00063578">
        <w:t>proposes</w:t>
      </w:r>
      <w:r w:rsidR="00055C55">
        <w:t xml:space="preserve"> </w:t>
      </w:r>
      <w:r w:rsidR="00063578">
        <w:t xml:space="preserve">a </w:t>
      </w:r>
      <w:r w:rsidR="004F3171">
        <w:t xml:space="preserve">unified </w:t>
      </w:r>
      <w:r w:rsidR="00063578">
        <w:t>codebook design framework</w:t>
      </w:r>
      <w:r w:rsidR="004F3171">
        <w:t xml:space="preserve"> for both Type I and Type II CSI </w:t>
      </w:r>
      <w:r w:rsidR="00D72078">
        <w:t>reporting,</w:t>
      </w:r>
      <w:r>
        <w:t xml:space="preserve"> and </w:t>
      </w:r>
      <w:r w:rsidR="00D72078">
        <w:t xml:space="preserve">to facilitate </w:t>
      </w:r>
      <w:r w:rsidR="00271FF4">
        <w:t>flexible</w:t>
      </w:r>
      <w:r w:rsidR="00213AE9">
        <w:t xml:space="preserve"> </w:t>
      </w:r>
      <w:r w:rsidR="00063578">
        <w:t>CSI acquisition and reporting</w:t>
      </w:r>
      <w:r w:rsidR="00D72078">
        <w:t xml:space="preserve"> from different NR UEs</w:t>
      </w:r>
      <w:r w:rsidR="00560F2D">
        <w:t xml:space="preserve">. </w:t>
      </w:r>
    </w:p>
    <w:p w14:paraId="7C9EE95C" w14:textId="77777777" w:rsidR="001D3FA1" w:rsidRDefault="00C77EA0" w:rsidP="001173EB">
      <w:pPr>
        <w:pStyle w:val="Heading1"/>
      </w:pPr>
      <w:r>
        <w:t xml:space="preserve">NR </w:t>
      </w:r>
      <w:r w:rsidR="00761596">
        <w:t>Codebook Framework</w:t>
      </w:r>
    </w:p>
    <w:p w14:paraId="776B7165" w14:textId="77777777" w:rsidR="00D430D5" w:rsidRDefault="00D430D5" w:rsidP="00D430D5">
      <w:pPr>
        <w:pStyle w:val="Caption"/>
        <w:keepNext/>
        <w:jc w:val="center"/>
      </w:pPr>
      <w:bookmarkStart w:id="4" w:name="_Ref4657637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410E3">
        <w:rPr>
          <w:noProof/>
        </w:rPr>
        <w:t>1</w:t>
      </w:r>
      <w:r>
        <w:fldChar w:fldCharType="end"/>
      </w:r>
      <w:bookmarkEnd w:id="4"/>
      <w:r>
        <w:t>: LTE codebooks and their main features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814"/>
        <w:gridCol w:w="4815"/>
      </w:tblGrid>
      <w:tr w:rsidR="00D430D5" w14:paraId="419DDC2C" w14:textId="77777777" w:rsidTr="001D097D">
        <w:trPr>
          <w:jc w:val="center"/>
        </w:trPr>
        <w:tc>
          <w:tcPr>
            <w:tcW w:w="2500" w:type="pct"/>
            <w:vAlign w:val="center"/>
          </w:tcPr>
          <w:p w14:paraId="6FEA1D02" w14:textId="77777777" w:rsidR="00D430D5" w:rsidRPr="0020000E" w:rsidRDefault="00D430D5" w:rsidP="001D097D">
            <w:pPr>
              <w:pStyle w:val="maintext"/>
              <w:spacing w:before="0" w:after="0"/>
              <w:ind w:firstLineChars="0" w:firstLine="0"/>
              <w:rPr>
                <w:b/>
              </w:rPr>
            </w:pPr>
            <w:r w:rsidRPr="0020000E">
              <w:rPr>
                <w:b/>
              </w:rPr>
              <w:t>LTE codebook</w:t>
            </w:r>
          </w:p>
        </w:tc>
        <w:tc>
          <w:tcPr>
            <w:tcW w:w="2500" w:type="pct"/>
            <w:vAlign w:val="center"/>
          </w:tcPr>
          <w:p w14:paraId="0367D688" w14:textId="77777777" w:rsidR="00D430D5" w:rsidRPr="0020000E" w:rsidRDefault="00D430D5" w:rsidP="001D097D">
            <w:pPr>
              <w:pStyle w:val="maintext"/>
              <w:spacing w:before="0" w:after="0"/>
              <w:ind w:firstLineChars="0" w:firstLine="0"/>
              <w:rPr>
                <w:b/>
              </w:rPr>
            </w:pPr>
            <w:r w:rsidRPr="0020000E">
              <w:rPr>
                <w:b/>
              </w:rPr>
              <w:t>Feature</w:t>
            </w:r>
          </w:p>
        </w:tc>
      </w:tr>
      <w:tr w:rsidR="00D430D5" w14:paraId="5B18B3B0" w14:textId="77777777" w:rsidTr="001D097D">
        <w:trPr>
          <w:jc w:val="center"/>
        </w:trPr>
        <w:tc>
          <w:tcPr>
            <w:tcW w:w="2500" w:type="pct"/>
            <w:vAlign w:val="center"/>
          </w:tcPr>
          <w:p w14:paraId="601469BC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>Rel. 8 2-port codebook</w:t>
            </w:r>
          </w:p>
          <w:p w14:paraId="0A2944C4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>Rel. 8 4-port codebook</w:t>
            </w:r>
          </w:p>
          <w:p w14:paraId="6C3FC328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>Rel. 10 8-port codebook</w:t>
            </w:r>
          </w:p>
          <w:p w14:paraId="652EB8F6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>Rel. 12 enhanced 4-port codebook</w:t>
            </w:r>
          </w:p>
          <w:p w14:paraId="4C7A90B4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 xml:space="preserve">Rel. 13 {8, 12, 16}-port Class A codebook </w:t>
            </w:r>
          </w:p>
          <w:p w14:paraId="150E3358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>Rel. 14 {20, 24, 28, 32}-port Class A codebook (if Rel. 13 Class A codebook is enhanced)</w:t>
            </w:r>
          </w:p>
        </w:tc>
        <w:tc>
          <w:tcPr>
            <w:tcW w:w="2500" w:type="pct"/>
            <w:vAlign w:val="center"/>
          </w:tcPr>
          <w:p w14:paraId="5CD4644D" w14:textId="77777777" w:rsidR="00D430D5" w:rsidRDefault="00D430D5" w:rsidP="001D097D">
            <w:pPr>
              <w:pStyle w:val="maintext"/>
              <w:spacing w:before="0" w:after="0"/>
              <w:ind w:firstLineChars="0" w:firstLine="0"/>
            </w:pPr>
            <w:r>
              <w:t>Non-precoded or full-port CSI acquisition</w:t>
            </w:r>
          </w:p>
        </w:tc>
      </w:tr>
      <w:tr w:rsidR="00D430D5" w14:paraId="784E1782" w14:textId="77777777" w:rsidTr="001D097D">
        <w:trPr>
          <w:jc w:val="center"/>
        </w:trPr>
        <w:tc>
          <w:tcPr>
            <w:tcW w:w="2500" w:type="pct"/>
            <w:vAlign w:val="center"/>
          </w:tcPr>
          <w:p w14:paraId="5DB25F59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 xml:space="preserve">Rel. 13 {2, 4, 8}-port Class B, </w:t>
            </w:r>
            <w:r w:rsidRPr="003A5864">
              <w:rPr>
                <w:i/>
              </w:rPr>
              <w:t>K</w:t>
            </w:r>
            <w:r>
              <w:t xml:space="preserve"> = 1 codebook</w:t>
            </w:r>
          </w:p>
        </w:tc>
        <w:tc>
          <w:tcPr>
            <w:tcW w:w="2500" w:type="pct"/>
            <w:vAlign w:val="center"/>
          </w:tcPr>
          <w:p w14:paraId="1F00AF34" w14:textId="77777777" w:rsidR="00D430D5" w:rsidRDefault="00D430D5" w:rsidP="001D097D">
            <w:pPr>
              <w:pStyle w:val="maintext"/>
              <w:spacing w:before="0" w:after="0"/>
              <w:ind w:firstLineChars="0" w:firstLine="0"/>
            </w:pPr>
            <w:r>
              <w:t>UE-specific beam-formed CSI acquisition</w:t>
            </w:r>
          </w:p>
        </w:tc>
      </w:tr>
      <w:tr w:rsidR="00D430D5" w14:paraId="7430B30F" w14:textId="77777777" w:rsidTr="001D097D">
        <w:trPr>
          <w:jc w:val="center"/>
        </w:trPr>
        <w:tc>
          <w:tcPr>
            <w:tcW w:w="2500" w:type="pct"/>
            <w:vAlign w:val="center"/>
          </w:tcPr>
          <w:p w14:paraId="66E8CA37" w14:textId="77777777" w:rsidR="00D430D5" w:rsidRDefault="00D430D5" w:rsidP="00ED6C83">
            <w:pPr>
              <w:pStyle w:val="maintext"/>
              <w:spacing w:before="0" w:after="0"/>
              <w:ind w:firstLineChars="0" w:firstLine="0"/>
            </w:pPr>
            <w:r>
              <w:t>Rel. 14 advanced CSI codebook</w:t>
            </w:r>
          </w:p>
        </w:tc>
        <w:tc>
          <w:tcPr>
            <w:tcW w:w="2500" w:type="pct"/>
            <w:vAlign w:val="center"/>
          </w:tcPr>
          <w:p w14:paraId="0BA280B7" w14:textId="77777777" w:rsidR="00D430D5" w:rsidRDefault="00D430D5" w:rsidP="001D097D">
            <w:pPr>
              <w:pStyle w:val="maintext"/>
              <w:spacing w:before="0" w:after="0"/>
              <w:ind w:firstLineChars="0" w:firstLine="0"/>
            </w:pPr>
            <w:r>
              <w:t>Advanced CSI acquisition to improve MU performance</w:t>
            </w:r>
          </w:p>
        </w:tc>
      </w:tr>
    </w:tbl>
    <w:p w14:paraId="0B524AB4" w14:textId="77777777" w:rsidR="001D3FA1" w:rsidRDefault="00AD7D96" w:rsidP="00D430D5">
      <w:pPr>
        <w:pStyle w:val="maintext"/>
        <w:spacing w:before="120"/>
        <w:ind w:firstLineChars="0" w:firstLine="0"/>
      </w:pPr>
      <w:r>
        <w:t>In (up to Rel. 14) LTE, there are many different codebooks supporting different MIMO features, a s</w:t>
      </w:r>
      <w:r w:rsidR="00B70815">
        <w:t xml:space="preserve">ummary of </w:t>
      </w:r>
      <w:r>
        <w:t xml:space="preserve">which </w:t>
      </w:r>
      <w:r w:rsidR="00B70815">
        <w:t xml:space="preserve">is provided in </w:t>
      </w:r>
      <w:r w:rsidR="00B70815">
        <w:fldChar w:fldCharType="begin"/>
      </w:r>
      <w:r w:rsidR="00B70815">
        <w:instrText xml:space="preserve"> REF _Ref465763741 \h </w:instrText>
      </w:r>
      <w:r w:rsidR="00B70815">
        <w:fldChar w:fldCharType="separate"/>
      </w:r>
      <w:r w:rsidR="000410E3">
        <w:t xml:space="preserve">Table </w:t>
      </w:r>
      <w:r w:rsidR="000410E3">
        <w:rPr>
          <w:noProof/>
        </w:rPr>
        <w:t>1</w:t>
      </w:r>
      <w:r w:rsidR="00B70815">
        <w:fldChar w:fldCharType="end"/>
      </w:r>
      <w:r w:rsidR="00B70815">
        <w:t>.</w:t>
      </w:r>
      <w:r w:rsidR="00F960C0">
        <w:t xml:space="preserve"> If one were to re-design </w:t>
      </w:r>
      <w:r w:rsidR="00D430D5">
        <w:t xml:space="preserve">LTE </w:t>
      </w:r>
      <w:r w:rsidR="00F960C0">
        <w:t>codebooks</w:t>
      </w:r>
      <w:r w:rsidR="00D430D5">
        <w:t xml:space="preserve"> supporting these features</w:t>
      </w:r>
      <w:r w:rsidR="00F960C0">
        <w:t xml:space="preserve">, then it is possible to unify most, if not all, of these codebooks into a common framework by introducing a few codebook parameters, which allow the </w:t>
      </w:r>
      <w:r w:rsidR="002E3FB4">
        <w:t>gNB/TRP</w:t>
      </w:r>
      <w:r w:rsidR="00F960C0">
        <w:t xml:space="preserve"> to configure a codebook to the UE by setting the codebook parameters to appropriate values.</w:t>
      </w:r>
      <w:r w:rsidR="00D430D5">
        <w:t xml:space="preserve"> This approach is perhaps more efficient and is </w:t>
      </w:r>
      <w:r w:rsidR="0064038F">
        <w:t xml:space="preserve">also </w:t>
      </w:r>
      <w:r w:rsidR="00D430D5">
        <w:t>scalable for future communication systems such as NR because they are expected to support more features than what LTE MIMO can offer. Therefore,</w:t>
      </w:r>
      <w:r>
        <w:t xml:space="preserve"> t</w:t>
      </w:r>
      <w:r w:rsidR="001509AC">
        <w:t xml:space="preserve">he codebook design in NR should </w:t>
      </w:r>
      <w:r w:rsidR="0064038F">
        <w:t>have a common framework, which is according to the</w:t>
      </w:r>
      <w:r w:rsidR="001509AC">
        <w:t xml:space="preserve"> following design </w:t>
      </w:r>
      <w:r w:rsidR="003A5864">
        <w:t>guidelines</w:t>
      </w:r>
      <w:r w:rsidR="0064038F">
        <w:t xml:space="preserve"> at the least</w:t>
      </w:r>
      <w:r w:rsidR="001D3FA1">
        <w:t xml:space="preserve">: </w:t>
      </w:r>
    </w:p>
    <w:p w14:paraId="6F087F6E" w14:textId="77777777" w:rsidR="001D3FA1" w:rsidRPr="00E43661" w:rsidRDefault="001D3FA1" w:rsidP="001509AC">
      <w:pPr>
        <w:pStyle w:val="maintext"/>
        <w:numPr>
          <w:ilvl w:val="0"/>
          <w:numId w:val="20"/>
        </w:numPr>
        <w:ind w:firstLineChars="0"/>
      </w:pPr>
      <w:r>
        <w:rPr>
          <w:b/>
          <w:i/>
        </w:rPr>
        <w:t>Flexibility</w:t>
      </w:r>
      <w:r>
        <w:t xml:space="preserve">: </w:t>
      </w:r>
      <w:r w:rsidR="002F2FE6">
        <w:t>NR codebook</w:t>
      </w:r>
      <w:r>
        <w:t xml:space="preserve"> should </w:t>
      </w:r>
      <w:r w:rsidR="002F2FE6">
        <w:t>allow the flexibility</w:t>
      </w:r>
      <w:r>
        <w:t xml:space="preserve"> to support users with different CSI reporting capabilities</w:t>
      </w:r>
      <w:r w:rsidR="00F427F7">
        <w:t xml:space="preserve">, </w:t>
      </w:r>
      <w:r w:rsidR="002F2FE6">
        <w:t>channel condition</w:t>
      </w:r>
      <w:r w:rsidR="00D72078">
        <w:t>s</w:t>
      </w:r>
      <w:r w:rsidR="00F427F7">
        <w:t>, and channel variations</w:t>
      </w:r>
      <w:r>
        <w:t xml:space="preserve">. For example, some </w:t>
      </w:r>
      <w:r w:rsidR="0064038F">
        <w:t xml:space="preserve">NR </w:t>
      </w:r>
      <w:r>
        <w:t xml:space="preserve">users may only be capable of reporting implicit </w:t>
      </w:r>
      <w:r w:rsidR="00D72078">
        <w:t xml:space="preserve">(Type I) </w:t>
      </w:r>
      <w:r>
        <w:t xml:space="preserve">CSI in the form of PMI/CQI/RI/CRI as in LTE and some other users may be capable of reporting both implicit </w:t>
      </w:r>
      <w:r w:rsidR="00D72078">
        <w:t xml:space="preserve">(Type I) </w:t>
      </w:r>
      <w:r>
        <w:t>as well as explicit CSI (</w:t>
      </w:r>
      <w:r w:rsidR="00D72078">
        <w:t>Type II</w:t>
      </w:r>
      <w:r>
        <w:t xml:space="preserve">). So, </w:t>
      </w:r>
      <w:r w:rsidR="0064038F">
        <w:t>a</w:t>
      </w:r>
      <w:r w:rsidR="00F654F5">
        <w:t xml:space="preserve"> UE should be configured with a codebook for CSI reporting </w:t>
      </w:r>
      <w:r>
        <w:t xml:space="preserve">depending on </w:t>
      </w:r>
      <w:r w:rsidR="0064038F">
        <w:t>its CSI reporting capability</w:t>
      </w:r>
      <w:r>
        <w:t>.</w:t>
      </w:r>
    </w:p>
    <w:p w14:paraId="340D86F6" w14:textId="77777777" w:rsidR="001D3FA1" w:rsidRDefault="00EF6911" w:rsidP="0064038F">
      <w:pPr>
        <w:pStyle w:val="maintext"/>
        <w:numPr>
          <w:ilvl w:val="0"/>
          <w:numId w:val="20"/>
        </w:numPr>
        <w:ind w:firstLineChars="0"/>
      </w:pPr>
      <w:r>
        <w:rPr>
          <w:b/>
          <w:i/>
        </w:rPr>
        <w:lastRenderedPageBreak/>
        <w:t>Beamforming support</w:t>
      </w:r>
      <w:r w:rsidR="001D3FA1">
        <w:t xml:space="preserve">: Following the trend established in FD-MIMO, NR MIMO system will be beam-formed either cell-specifically or UE-specifically, where the beams can either be of analog (RF) or digital or hybrid type. For such a beam-formed system, a mechanism is needed to obtain accurate beam-forming information at the </w:t>
      </w:r>
      <w:r w:rsidR="002E3FB4">
        <w:t>gNB/TRP</w:t>
      </w:r>
      <w:r w:rsidR="001D3FA1">
        <w:t>.</w:t>
      </w:r>
      <w:r w:rsidR="00D72078">
        <w:t xml:space="preserve"> The NR codebook should be design</w:t>
      </w:r>
      <w:r w:rsidR="00EA471A">
        <w:t>ed</w:t>
      </w:r>
      <w:r w:rsidR="00D72078">
        <w:t xml:space="preserve"> keeping this beamforming support in mind.</w:t>
      </w:r>
    </w:p>
    <w:p w14:paraId="05FF69B5" w14:textId="77777777" w:rsidR="001D3FA1" w:rsidRDefault="001D3FA1" w:rsidP="001509AC">
      <w:pPr>
        <w:pStyle w:val="maintext"/>
        <w:numPr>
          <w:ilvl w:val="0"/>
          <w:numId w:val="20"/>
        </w:numPr>
        <w:ind w:firstLineChars="0"/>
      </w:pPr>
      <w:r w:rsidRPr="009D3FBF">
        <w:rPr>
          <w:b/>
          <w:i/>
        </w:rPr>
        <w:t>Unified design</w:t>
      </w:r>
      <w:r>
        <w:t xml:space="preserve">: Since NR includes both above and below 6 GHz frequency bands, a unified </w:t>
      </w:r>
      <w:r w:rsidR="00D72078">
        <w:t>codebook</w:t>
      </w:r>
      <w:r>
        <w:t xml:space="preserve"> working for both frequency regimes </w:t>
      </w:r>
      <w:r w:rsidR="00EA471A">
        <w:t>is</w:t>
      </w:r>
      <w:r>
        <w:t xml:space="preserve"> preferable. </w:t>
      </w:r>
    </w:p>
    <w:p w14:paraId="3286EC2B" w14:textId="77777777" w:rsidR="00D72078" w:rsidRDefault="00D72078" w:rsidP="001509AC">
      <w:pPr>
        <w:pStyle w:val="maintext"/>
        <w:numPr>
          <w:ilvl w:val="0"/>
          <w:numId w:val="20"/>
        </w:numPr>
        <w:ind w:firstLineChars="0"/>
      </w:pPr>
      <w:r>
        <w:rPr>
          <w:b/>
          <w:i/>
        </w:rPr>
        <w:t>Scalability</w:t>
      </w:r>
      <w:r w:rsidRPr="0079168B">
        <w:t>:</w:t>
      </w:r>
      <w:r w:rsidRPr="00D72078">
        <w:t xml:space="preserve"> The</w:t>
      </w:r>
      <w:r>
        <w:t xml:space="preserve"> codebook should be scalable to support both single a</w:t>
      </w:r>
      <w:r w:rsidR="00BA45A2">
        <w:t>nd multiple antenna panels, and both co-located and distributed TRPs.</w:t>
      </w:r>
    </w:p>
    <w:p w14:paraId="7D1EF5EC" w14:textId="77777777" w:rsidR="0017663C" w:rsidRPr="0017663C" w:rsidRDefault="0017663C" w:rsidP="0017663C">
      <w:pPr>
        <w:pStyle w:val="maintext"/>
        <w:ind w:firstLineChars="0" w:firstLine="0"/>
        <w:rPr>
          <w:i/>
        </w:rPr>
      </w:pPr>
      <w:r w:rsidRPr="0017663C">
        <w:rPr>
          <w:b/>
          <w:i/>
        </w:rPr>
        <w:t>Proposal 1</w:t>
      </w:r>
      <w:r w:rsidRPr="0017663C">
        <w:rPr>
          <w:i/>
        </w:rPr>
        <w:t>: NR codebook should follow at least following design guidelines:</w:t>
      </w:r>
    </w:p>
    <w:p w14:paraId="27CD69CE" w14:textId="77777777" w:rsidR="0017663C" w:rsidRPr="0017663C" w:rsidRDefault="0017663C" w:rsidP="0017663C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17663C">
        <w:rPr>
          <w:i/>
        </w:rPr>
        <w:t xml:space="preserve">Flexible </w:t>
      </w:r>
      <w:r w:rsidR="00D916EA">
        <w:rPr>
          <w:i/>
        </w:rPr>
        <w:t xml:space="preserve">to </w:t>
      </w:r>
      <w:r w:rsidRPr="0017663C">
        <w:rPr>
          <w:i/>
        </w:rPr>
        <w:t xml:space="preserve">support CSI reporting </w:t>
      </w:r>
      <w:r w:rsidR="00D916EA">
        <w:rPr>
          <w:i/>
        </w:rPr>
        <w:t xml:space="preserve">depending on </w:t>
      </w:r>
      <w:r w:rsidR="00307684">
        <w:rPr>
          <w:i/>
        </w:rPr>
        <w:t>user</w:t>
      </w:r>
      <w:r w:rsidR="00D916EA">
        <w:rPr>
          <w:i/>
        </w:rPr>
        <w:t xml:space="preserve"> capabilities</w:t>
      </w:r>
    </w:p>
    <w:p w14:paraId="0E60BC1C" w14:textId="77777777" w:rsidR="0017663C" w:rsidRPr="0017663C" w:rsidRDefault="0017663C" w:rsidP="0017663C">
      <w:pPr>
        <w:pStyle w:val="maintext"/>
        <w:numPr>
          <w:ilvl w:val="0"/>
          <w:numId w:val="45"/>
        </w:numPr>
        <w:ind w:firstLineChars="0"/>
        <w:rPr>
          <w:i/>
        </w:rPr>
      </w:pPr>
      <w:r>
        <w:rPr>
          <w:i/>
        </w:rPr>
        <w:t>S</w:t>
      </w:r>
      <w:r w:rsidRPr="0017663C">
        <w:rPr>
          <w:i/>
        </w:rPr>
        <w:t xml:space="preserve">upport for </w:t>
      </w:r>
      <w:r w:rsidR="00D916EA">
        <w:rPr>
          <w:i/>
        </w:rPr>
        <w:t xml:space="preserve">CSI reporting in </w:t>
      </w:r>
      <w:r w:rsidRPr="0017663C">
        <w:rPr>
          <w:i/>
        </w:rPr>
        <w:t>beamformed systems</w:t>
      </w:r>
    </w:p>
    <w:p w14:paraId="301D4175" w14:textId="77777777" w:rsidR="0017663C" w:rsidRPr="0017663C" w:rsidRDefault="0017663C" w:rsidP="0017663C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17663C">
        <w:rPr>
          <w:i/>
        </w:rPr>
        <w:t>Unified codebook for both above and below 6 GHz</w:t>
      </w:r>
    </w:p>
    <w:p w14:paraId="6D6503B0" w14:textId="77777777" w:rsidR="0017663C" w:rsidRPr="0017663C" w:rsidRDefault="0017663C" w:rsidP="0017663C">
      <w:pPr>
        <w:pStyle w:val="maintext"/>
        <w:numPr>
          <w:ilvl w:val="0"/>
          <w:numId w:val="45"/>
        </w:numPr>
        <w:spacing w:after="120"/>
        <w:ind w:firstLineChars="0"/>
        <w:rPr>
          <w:i/>
        </w:rPr>
      </w:pPr>
      <w:r w:rsidRPr="0017663C">
        <w:rPr>
          <w:i/>
        </w:rPr>
        <w:t>Scalable to support multiple antenna panels, and distributed TRPs.</w:t>
      </w:r>
    </w:p>
    <w:p w14:paraId="574B5D23" w14:textId="77777777" w:rsidR="002E7643" w:rsidRPr="002E7643" w:rsidRDefault="002E7643" w:rsidP="006E71A5">
      <w:pPr>
        <w:pStyle w:val="maintext"/>
        <w:ind w:firstLineChars="0" w:firstLine="0"/>
        <w:rPr>
          <w:i/>
          <w:u w:val="single"/>
        </w:rPr>
      </w:pPr>
      <w:r w:rsidRPr="002E7643">
        <w:rPr>
          <w:i/>
          <w:u w:val="single"/>
        </w:rPr>
        <w:t>Proposed codebook framework</w:t>
      </w:r>
    </w:p>
    <w:p w14:paraId="0140FEA1" w14:textId="77777777" w:rsidR="002E7643" w:rsidRDefault="002E7643" w:rsidP="002E7643">
      <w:pPr>
        <w:pStyle w:val="maintext"/>
        <w:ind w:firstLineChars="0" w:firstLine="0"/>
      </w:pPr>
      <w:r>
        <w:rPr>
          <w:iCs/>
        </w:rPr>
        <w:t xml:space="preserve">In the following, we assume that </w:t>
      </w:r>
      <w:r w:rsidRPr="00A23A35">
        <w:rPr>
          <w:i/>
          <w:iCs/>
        </w:rPr>
        <w:t>N</w:t>
      </w:r>
      <w:r w:rsidRPr="00A23A35">
        <w:rPr>
          <w:iCs/>
          <w:vertAlign w:val="subscript"/>
        </w:rPr>
        <w:t>1</w:t>
      </w:r>
      <w:r w:rsidRPr="00A23A35">
        <w:rPr>
          <w:iCs/>
        </w:rPr>
        <w:t xml:space="preserve"> </w:t>
      </w:r>
      <w:r>
        <w:rPr>
          <w:iCs/>
        </w:rPr>
        <w:t>and</w:t>
      </w:r>
      <w:r w:rsidRPr="00A23A35">
        <w:rPr>
          <w:iCs/>
        </w:rPr>
        <w:t xml:space="preserve"> </w:t>
      </w:r>
      <w:r w:rsidRPr="00A23A35">
        <w:rPr>
          <w:i/>
          <w:iCs/>
        </w:rPr>
        <w:t>N</w:t>
      </w:r>
      <w:r w:rsidRPr="00A23A35">
        <w:rPr>
          <w:iCs/>
          <w:vertAlign w:val="subscript"/>
        </w:rPr>
        <w:t>2</w:t>
      </w:r>
      <w:r w:rsidRPr="00A23A35">
        <w:rPr>
          <w:iCs/>
        </w:rPr>
        <w:t xml:space="preserve"> </w:t>
      </w:r>
      <w:r>
        <w:rPr>
          <w:iCs/>
        </w:rPr>
        <w:t xml:space="preserve">are the number of antenna ports with the same polarization in the first and second dimensions, respectively. For 2D antenna port layouts, we have </w:t>
      </w:r>
      <w:r w:rsidRPr="00A23A35">
        <w:rPr>
          <w:i/>
          <w:iCs/>
        </w:rPr>
        <w:t>N</w:t>
      </w:r>
      <w:r w:rsidRPr="00A23A35">
        <w:rPr>
          <w:iCs/>
          <w:vertAlign w:val="subscript"/>
        </w:rPr>
        <w:t>1</w:t>
      </w:r>
      <w:r w:rsidRPr="00A23A35">
        <w:rPr>
          <w:iCs/>
        </w:rPr>
        <w:t xml:space="preserve"> </w:t>
      </w:r>
      <w:r>
        <w:rPr>
          <w:iCs/>
        </w:rPr>
        <w:t xml:space="preserve">&gt; 1, </w:t>
      </w:r>
      <w:r w:rsidRPr="00A23A35">
        <w:rPr>
          <w:i/>
          <w:iCs/>
        </w:rPr>
        <w:t>N</w:t>
      </w:r>
      <w:r w:rsidRPr="00A23A35">
        <w:rPr>
          <w:iCs/>
          <w:vertAlign w:val="subscript"/>
        </w:rPr>
        <w:t>2</w:t>
      </w:r>
      <w:r>
        <w:rPr>
          <w:iCs/>
          <w:vertAlign w:val="subscript"/>
        </w:rPr>
        <w:t xml:space="preserve"> </w:t>
      </w:r>
      <w:r>
        <w:rPr>
          <w:iCs/>
        </w:rPr>
        <w:t xml:space="preserve">&gt; 1, and for 1D antenna port layouts </w:t>
      </w:r>
      <w:r w:rsidRPr="00A23A35">
        <w:rPr>
          <w:i/>
          <w:iCs/>
        </w:rPr>
        <w:t>N</w:t>
      </w:r>
      <w:r w:rsidRPr="00A23A35">
        <w:rPr>
          <w:iCs/>
          <w:vertAlign w:val="subscript"/>
        </w:rPr>
        <w:t>1</w:t>
      </w:r>
      <w:r w:rsidRPr="00A23A35">
        <w:rPr>
          <w:iCs/>
        </w:rPr>
        <w:t xml:space="preserve"> </w:t>
      </w:r>
      <w:r w:rsidRPr="002E7643">
        <w:rPr>
          <w:iCs/>
        </w:rPr>
        <w:t>&gt; 1</w:t>
      </w:r>
      <w:r>
        <w:rPr>
          <w:iCs/>
        </w:rPr>
        <w:t xml:space="preserve"> and </w:t>
      </w:r>
      <w:r w:rsidR="00AF5AFC" w:rsidRPr="00A23A35">
        <w:rPr>
          <w:i/>
          <w:iCs/>
        </w:rPr>
        <w:t>N</w:t>
      </w:r>
      <w:r w:rsidR="00AF5AFC" w:rsidRPr="00A23A35">
        <w:rPr>
          <w:iCs/>
          <w:vertAlign w:val="subscript"/>
        </w:rPr>
        <w:t>2</w:t>
      </w:r>
      <w:r w:rsidR="00AF5AFC" w:rsidRPr="002E7643">
        <w:rPr>
          <w:iCs/>
        </w:rPr>
        <w:t xml:space="preserve"> </w:t>
      </w:r>
      <w:r w:rsidR="00AF5AFC">
        <w:rPr>
          <w:iCs/>
        </w:rPr>
        <w:t xml:space="preserve">= </w:t>
      </w:r>
      <w:r>
        <w:rPr>
          <w:iCs/>
        </w:rPr>
        <w:t>1. So, for a dual-polarized antenna port layout, the total number of antenna ports is 2</w:t>
      </w:r>
      <w:r w:rsidRPr="00A23A35">
        <w:rPr>
          <w:i/>
          <w:iCs/>
        </w:rPr>
        <w:t>N</w:t>
      </w:r>
      <w:r w:rsidRPr="00A23A35">
        <w:rPr>
          <w:iCs/>
          <w:vertAlign w:val="subscript"/>
        </w:rPr>
        <w:t>1</w:t>
      </w:r>
      <w:r w:rsidRPr="00A23A35">
        <w:rPr>
          <w:i/>
          <w:iCs/>
        </w:rPr>
        <w:t>N</w:t>
      </w:r>
      <w:r>
        <w:rPr>
          <w:iCs/>
          <w:vertAlign w:val="subscript"/>
        </w:rPr>
        <w:t>2</w:t>
      </w:r>
      <w:r>
        <w:rPr>
          <w:iCs/>
        </w:rPr>
        <w:t xml:space="preserve">. </w:t>
      </w:r>
    </w:p>
    <w:p w14:paraId="35752415" w14:textId="77777777" w:rsidR="008E1B01" w:rsidRDefault="008E1B01" w:rsidP="00134753">
      <w:pPr>
        <w:pStyle w:val="maintext"/>
        <w:ind w:firstLineChars="0" w:firstLine="0"/>
      </w:pPr>
      <w:r w:rsidRPr="008E1B01">
        <w:t>The</w:t>
      </w:r>
      <w:r>
        <w:t xml:space="preserve"> </w:t>
      </w:r>
      <w:r w:rsidR="002E7643">
        <w:t xml:space="preserve">proposed </w:t>
      </w:r>
      <w:r>
        <w:t>codebook framework comprises of the following components</w:t>
      </w:r>
      <w:r w:rsidR="0079168B">
        <w:t xml:space="preserve">, each of which </w:t>
      </w:r>
      <w:r w:rsidR="002E7643">
        <w:t xml:space="preserve">is </w:t>
      </w:r>
      <w:r w:rsidR="0079168B">
        <w:t>configurable</w:t>
      </w:r>
      <w:r>
        <w:t>:</w:t>
      </w:r>
    </w:p>
    <w:p w14:paraId="69F5F8F1" w14:textId="540BC6B0" w:rsidR="008E1B01" w:rsidRPr="008E1B01" w:rsidRDefault="000C5ED9" w:rsidP="00134753">
      <w:pPr>
        <w:pStyle w:val="maintext"/>
        <w:numPr>
          <w:ilvl w:val="0"/>
          <w:numId w:val="44"/>
        </w:numPr>
        <w:ind w:firstLineChars="0"/>
      </w:pPr>
      <w:r>
        <w:rPr>
          <w:b/>
          <w:i/>
        </w:rPr>
        <w:t>B</w:t>
      </w:r>
      <w:r w:rsidR="00ED1719">
        <w:rPr>
          <w:b/>
          <w:i/>
        </w:rPr>
        <w:t>asis</w:t>
      </w:r>
      <w:r>
        <w:rPr>
          <w:b/>
          <w:i/>
        </w:rPr>
        <w:t xml:space="preserve"> set</w:t>
      </w:r>
      <w:r w:rsidR="008E1B01">
        <w:t xml:space="preserve">: Depending on whether the UE is configured with CSI reporting with or without dimension reduction, the UE </w:t>
      </w:r>
      <w:r w:rsidR="00AF5AFC">
        <w:t>is configured with</w:t>
      </w:r>
      <w:r w:rsidR="008E1B01">
        <w:t xml:space="preserve"> a </w:t>
      </w:r>
      <w:r>
        <w:t>basis set</w:t>
      </w:r>
      <w:r w:rsidR="00ED1719">
        <w:t xml:space="preserve"> of one of the following two types.</w:t>
      </w:r>
      <w:r w:rsidR="008E1B01">
        <w:t xml:space="preserve"> </w:t>
      </w:r>
    </w:p>
    <w:p w14:paraId="1C5C2D83" w14:textId="36F02510" w:rsidR="00134753" w:rsidRDefault="006E71A5" w:rsidP="00134753">
      <w:pPr>
        <w:pStyle w:val="maintext"/>
        <w:numPr>
          <w:ilvl w:val="1"/>
          <w:numId w:val="44"/>
        </w:numPr>
        <w:ind w:firstLineChars="0"/>
      </w:pPr>
      <w:r w:rsidRPr="0022112D">
        <w:rPr>
          <w:i/>
        </w:rPr>
        <w:t>Full dimension</w:t>
      </w:r>
      <w:r>
        <w:t xml:space="preserve">: </w:t>
      </w:r>
      <w:r w:rsidR="00ED1719">
        <w:t xml:space="preserve">the </w:t>
      </w:r>
      <w:r w:rsidR="000C5ED9">
        <w:t>basis set</w:t>
      </w:r>
      <w:r>
        <w:t xml:space="preserve"> is </w:t>
      </w:r>
      <w:r w:rsidR="00ED1719">
        <w:t>given by</w:t>
      </w:r>
    </w:p>
    <w:p w14:paraId="174ACD04" w14:textId="77777777" w:rsidR="006E71A5" w:rsidRDefault="00ED1719" w:rsidP="00134753">
      <w:pPr>
        <w:pStyle w:val="maintext"/>
        <w:ind w:left="1440" w:firstLineChars="0" w:firstLine="0"/>
        <w:jc w:val="center"/>
      </w:pPr>
      <m:oMath>
        <m:r>
          <w:rPr>
            <w:rFonts w:ascii="Cambria Math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sub>
                  </m:sSub>
                </m:e>
              </m:mr>
            </m:m>
          </m:e>
        </m:d>
      </m:oMath>
      <w:r>
        <w:t>,</w:t>
      </w:r>
    </w:p>
    <w:p w14:paraId="2BA7BE70" w14:textId="77777777" w:rsidR="00F233A3" w:rsidRDefault="00134753" w:rsidP="00134753">
      <w:pPr>
        <w:pStyle w:val="maintext"/>
        <w:ind w:left="1440" w:firstLineChars="0" w:firstLine="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>
        <w:t xml:space="preserve"> is an identity matrix. </w:t>
      </w:r>
      <w:r w:rsidR="00F233A3">
        <w:t xml:space="preserve">The UE </w:t>
      </w:r>
      <w:r w:rsidR="00AF5AFC">
        <w:t>can be</w:t>
      </w:r>
      <w:r w:rsidR="00F233A3">
        <w:t xml:space="preserve"> configured with </w:t>
      </w:r>
      <w:r w:rsidR="00AF5AFC">
        <w:t xml:space="preserve">the </w:t>
      </w:r>
      <w:r w:rsidR="00F233A3">
        <w:t xml:space="preserve">full dimension </w:t>
      </w:r>
      <w:r w:rsidR="00AF5AFC">
        <w:t xml:space="preserve">basis </w:t>
      </w:r>
      <w:r w:rsidR="00F233A3">
        <w:t>for Type II (explicit) CSI reporting.</w:t>
      </w:r>
    </w:p>
    <w:p w14:paraId="5D419A10" w14:textId="60CF99EC" w:rsidR="00134753" w:rsidRDefault="006E71A5" w:rsidP="00134753">
      <w:pPr>
        <w:pStyle w:val="maintext"/>
        <w:numPr>
          <w:ilvl w:val="1"/>
          <w:numId w:val="44"/>
        </w:numPr>
        <w:ind w:firstLineChars="0"/>
      </w:pPr>
      <w:r w:rsidRPr="0022112D">
        <w:rPr>
          <w:i/>
        </w:rPr>
        <w:t>Reduced dimension</w:t>
      </w:r>
      <w:r>
        <w:t xml:space="preserve">: </w:t>
      </w:r>
      <w:r w:rsidR="00ED1719">
        <w:t xml:space="preserve">the </w:t>
      </w:r>
      <w:r w:rsidR="000C5ED9">
        <w:t>basis set</w:t>
      </w:r>
      <w:r>
        <w:t xml:space="preserve"> is a </w:t>
      </w:r>
      <w:r w:rsidR="008E1B01">
        <w:t xml:space="preserve">2 x 2 </w:t>
      </w:r>
      <w:r w:rsidR="00ED1719">
        <w:t xml:space="preserve">block </w:t>
      </w:r>
      <w:r>
        <w:t>diagonal matrix whose diagonal</w:t>
      </w:r>
      <w:r w:rsidR="008E1B01">
        <w:t xml:space="preserve"> blocks are of size</w:t>
      </w:r>
      <w:r w:rsidR="00AF5AF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D1719">
        <w:t>. The two diagonal block</w:t>
      </w:r>
      <w:r w:rsidR="00AF5AFC">
        <w:t>s</w:t>
      </w:r>
      <w:r w:rsidR="008E1B01">
        <w:t xml:space="preserve"> may or may not </w:t>
      </w:r>
      <w:r w:rsidR="00ED1719">
        <w:t xml:space="preserve">be </w:t>
      </w:r>
      <w:r w:rsidR="008E1B01">
        <w:t>identical.</w:t>
      </w:r>
      <w:r w:rsidR="00AF5AFC">
        <w:t xml:space="preserve"> A</w:t>
      </w:r>
      <w:r w:rsidR="008E1B01">
        <w:t xml:space="preserve">ssuming identical diagonal blocks, the </w:t>
      </w:r>
      <w:r w:rsidR="000C5ED9">
        <w:t>basis set</w:t>
      </w:r>
      <w:r w:rsidR="008E1B01">
        <w:t xml:space="preserve"> has the following structure: </w:t>
      </w:r>
      <w:r>
        <w:t xml:space="preserve"> </w:t>
      </w:r>
    </w:p>
    <w:p w14:paraId="38C04DAD" w14:textId="77777777" w:rsidR="00134753" w:rsidRDefault="00ED1719" w:rsidP="00134753">
      <w:pPr>
        <w:pStyle w:val="maintext"/>
        <w:ind w:left="1440" w:firstLineChars="0" w:firstLine="0"/>
        <w:jc w:val="center"/>
      </w:pPr>
      <m:oMath>
        <m:r>
          <w:rPr>
            <w:rFonts w:ascii="Cambria Math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</m:mr>
            </m:m>
          </m:e>
        </m:d>
      </m:oMath>
      <w:r>
        <w:t>,</w:t>
      </w:r>
    </w:p>
    <w:p w14:paraId="4470B4F9" w14:textId="18265B13" w:rsidR="00F233A3" w:rsidRDefault="00ED1719" w:rsidP="00134753">
      <w:pPr>
        <w:pStyle w:val="maintext"/>
        <w:ind w:left="1440" w:firstLineChars="0" w:firstLine="0"/>
      </w:pPr>
      <w:r>
        <w:t xml:space="preserve">where </w:t>
      </w:r>
      <m:oMath>
        <m:r>
          <w:rPr>
            <w:rFonts w:ascii="Cambria Math" w:hAnsi="Cambria Math"/>
          </w:rPr>
          <m:t>W</m:t>
        </m:r>
      </m:oMath>
      <w:r>
        <w:t xml:space="preserve">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∈{1,2,..,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-1}</m:t>
        </m:r>
      </m:oMath>
      <w:r w:rsidR="00134753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∈{1,2,…,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 for 2D</w:t>
      </w:r>
      <w:r w:rsidR="00554FE0">
        <w:t xml:space="preserve"> port layouts</w:t>
      </w:r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for 1D</w:t>
      </w:r>
      <w:r w:rsidR="00554FE0">
        <w:t xml:space="preserve"> port layouts</w:t>
      </w:r>
      <w:r>
        <w:t xml:space="preserve">. </w:t>
      </w:r>
      <w:r w:rsidR="00F233A3">
        <w:t xml:space="preserve">The UE can be configured with </w:t>
      </w:r>
      <w:r w:rsidR="002F7F5A">
        <w:t xml:space="preserve">the </w:t>
      </w:r>
      <w:r w:rsidR="00F233A3">
        <w:t xml:space="preserve">reduced dimension </w:t>
      </w:r>
      <w:r w:rsidR="000C5ED9">
        <w:t>basis set</w:t>
      </w:r>
      <w:r w:rsidR="00F233A3">
        <w:t xml:space="preserve"> for</w:t>
      </w:r>
      <w:r w:rsidR="00680E45">
        <w:t xml:space="preserve"> both</w:t>
      </w:r>
      <w:r w:rsidR="00F233A3">
        <w:t xml:space="preserve"> Type I (implicit)</w:t>
      </w:r>
      <w:r w:rsidR="00680E45">
        <w:t xml:space="preserve"> and Type II (explicit)</w:t>
      </w:r>
      <w:r w:rsidR="00F233A3">
        <w:t xml:space="preserve"> CSI reporting.</w:t>
      </w:r>
      <w:r w:rsidR="00134753">
        <w:t xml:space="preserve"> </w:t>
      </w:r>
      <w:r w:rsidR="00F24402">
        <w:t xml:space="preserve">An example of </w:t>
      </w:r>
      <w:r w:rsidR="000C5ED9">
        <w:t>basis set</w:t>
      </w:r>
      <w:r w:rsidR="00F24402">
        <w:t xml:space="preserve"> for dimension reduction is shown in </w:t>
      </w:r>
      <w:r w:rsidR="00F24402">
        <w:fldChar w:fldCharType="begin"/>
      </w:r>
      <w:r w:rsidR="00F24402">
        <w:instrText xml:space="preserve"> REF _Ref453757669 \h </w:instrText>
      </w:r>
      <w:r w:rsidR="00F24402">
        <w:fldChar w:fldCharType="separate"/>
      </w:r>
      <w:r w:rsidR="000410E3">
        <w:t xml:space="preserve">Figure </w:t>
      </w:r>
      <w:r w:rsidR="000410E3">
        <w:rPr>
          <w:noProof/>
        </w:rPr>
        <w:t>1</w:t>
      </w:r>
      <w:r w:rsidR="00F24402">
        <w:fldChar w:fldCharType="end"/>
      </w:r>
      <w:r w:rsidR="00F24402">
        <w:t>.</w:t>
      </w:r>
    </w:p>
    <w:p w14:paraId="32DB871B" w14:textId="77777777" w:rsidR="00F233A3" w:rsidRDefault="00F233A3" w:rsidP="006E71A5">
      <w:pPr>
        <w:pStyle w:val="maintext"/>
        <w:ind w:firstLineChars="0" w:firstLine="0"/>
      </w:pPr>
    </w:p>
    <w:p w14:paraId="2ADAD7B3" w14:textId="09B581DB" w:rsidR="001509AC" w:rsidRDefault="000C5ED9" w:rsidP="00F24402">
      <w:pPr>
        <w:keepNext/>
        <w:ind w:left="1440"/>
        <w:jc w:val="center"/>
      </w:pPr>
      <w:r>
        <w:object w:dxaOrig="6986" w:dyaOrig="5149" w14:anchorId="1C669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257.3pt" o:ole="">
            <v:imagedata r:id="rId8" o:title=""/>
          </v:shape>
          <o:OLEObject Type="Embed" ProgID="Visio.Drawing.11" ShapeID="_x0000_i1025" DrawAspect="Content" ObjectID="_1539782341" r:id="rId9"/>
        </w:object>
      </w:r>
    </w:p>
    <w:p w14:paraId="2891AD0B" w14:textId="391BD2FC" w:rsidR="001509AC" w:rsidRDefault="001509AC" w:rsidP="00F24402">
      <w:pPr>
        <w:pStyle w:val="Caption"/>
        <w:ind w:left="1440"/>
        <w:jc w:val="center"/>
        <w:rPr>
          <w:u w:val="single"/>
        </w:rPr>
      </w:pPr>
      <w:bookmarkStart w:id="5" w:name="_Ref453757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10E3"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: An illustration of </w:t>
      </w:r>
      <w:r w:rsidR="000C5ED9">
        <w:t>basis set</w:t>
      </w:r>
      <w:r w:rsidR="00ED1719">
        <w:t xml:space="preserve"> for dimension reduction</w:t>
      </w:r>
    </w:p>
    <w:p w14:paraId="77A84F9E" w14:textId="4B62A903" w:rsidR="00013E49" w:rsidRDefault="00344492" w:rsidP="00554FE0">
      <w:pPr>
        <w:spacing w:line="288" w:lineRule="auto"/>
        <w:ind w:left="1440"/>
        <w:jc w:val="both"/>
      </w:pPr>
      <w:r w:rsidRPr="00344492">
        <w:t>A</w:t>
      </w:r>
      <w:r w:rsidR="00013E49">
        <w:t>n o</w:t>
      </w:r>
      <w:r w:rsidR="00013E49" w:rsidRPr="00E14D3E">
        <w:t xml:space="preserve">versampled DFT </w:t>
      </w:r>
      <w:r w:rsidR="00013E49">
        <w:t xml:space="preserve">codebook </w:t>
      </w:r>
      <w:r>
        <w:t xml:space="preserve">serves </w:t>
      </w:r>
      <w:r w:rsidR="00013E49">
        <w:t xml:space="preserve">as the </w:t>
      </w:r>
      <w:r w:rsidR="000C5ED9">
        <w:t>basis set</w:t>
      </w:r>
      <w:r w:rsidR="00013E49" w:rsidRPr="00E14D3E">
        <w:t xml:space="preserve"> </w:t>
      </w:r>
      <w:r w:rsidR="00013E49">
        <w:t xml:space="preserve">comprising of </w:t>
      </w:r>
      <w:r w:rsidR="00013E49" w:rsidRPr="00E14D3E">
        <w:rPr>
          <w:i/>
        </w:rPr>
        <w:t>O</w:t>
      </w:r>
      <w:r w:rsidR="00013E49" w:rsidRPr="00E14D3E">
        <w:rPr>
          <w:vertAlign w:val="subscript"/>
        </w:rPr>
        <w:t>1</w:t>
      </w:r>
      <w:r w:rsidR="00013E49" w:rsidRPr="00E14D3E">
        <w:rPr>
          <w:i/>
        </w:rPr>
        <w:t>N</w:t>
      </w:r>
      <w:r w:rsidR="00013E49" w:rsidRPr="00E14D3E">
        <w:rPr>
          <w:vertAlign w:val="subscript"/>
        </w:rPr>
        <w:t>1</w:t>
      </w:r>
      <w:r w:rsidR="00013E49" w:rsidRPr="00E14D3E">
        <w:t xml:space="preserve"> </w:t>
      </w:r>
      <w:r w:rsidR="00013E49">
        <w:t>×</w:t>
      </w:r>
      <w:r w:rsidR="00013E49" w:rsidRPr="00E14D3E">
        <w:t xml:space="preserve"> </w:t>
      </w:r>
      <w:r w:rsidR="00013E49" w:rsidRPr="00E14D3E">
        <w:rPr>
          <w:i/>
        </w:rPr>
        <w:t>O</w:t>
      </w:r>
      <w:r w:rsidR="00013E49" w:rsidRPr="00E14D3E">
        <w:rPr>
          <w:vertAlign w:val="subscript"/>
        </w:rPr>
        <w:t>2</w:t>
      </w:r>
      <w:r w:rsidR="00013E49" w:rsidRPr="00E14D3E">
        <w:rPr>
          <w:i/>
        </w:rPr>
        <w:t>N</w:t>
      </w:r>
      <w:r w:rsidR="00013E49" w:rsidRPr="00E14D3E">
        <w:rPr>
          <w:vertAlign w:val="subscript"/>
        </w:rPr>
        <w:t>2</w:t>
      </w:r>
      <w:r w:rsidR="00013E49" w:rsidRPr="00E14D3E">
        <w:t xml:space="preserve"> DFT</w:t>
      </w:r>
      <w:r w:rsidR="00013E49">
        <w:rPr>
          <w:vertAlign w:val="subscript"/>
        </w:rPr>
        <w:t xml:space="preserve"> </w:t>
      </w:r>
      <w:r w:rsidR="00013E49">
        <w:t>beams</w:t>
      </w:r>
      <w:r w:rsidR="00D9550D">
        <w:t>, where</w:t>
      </w:r>
      <w:r w:rsidR="00D9550D" w:rsidRPr="00D9550D">
        <w:rPr>
          <w:i/>
        </w:rPr>
        <w:t xml:space="preserve"> </w:t>
      </w:r>
      <w:r w:rsidR="00D9550D" w:rsidRPr="00E14D3E">
        <w:rPr>
          <w:i/>
        </w:rPr>
        <w:t>O</w:t>
      </w:r>
      <w:r w:rsidR="00D9550D" w:rsidRPr="00E14D3E">
        <w:rPr>
          <w:vertAlign w:val="subscript"/>
        </w:rPr>
        <w:t>1</w:t>
      </w:r>
      <w:r w:rsidR="00D9550D">
        <w:rPr>
          <w:vertAlign w:val="subscript"/>
        </w:rPr>
        <w:t xml:space="preserve"> </w:t>
      </w:r>
      <w:r w:rsidR="00D9550D" w:rsidRPr="00D9550D">
        <w:t>and</w:t>
      </w:r>
      <w:r w:rsidR="00D9550D">
        <w:rPr>
          <w:vertAlign w:val="subscript"/>
        </w:rPr>
        <w:t xml:space="preserve"> </w:t>
      </w:r>
      <w:r w:rsidR="00D9550D" w:rsidRPr="00E14D3E">
        <w:rPr>
          <w:i/>
        </w:rPr>
        <w:t>O</w:t>
      </w:r>
      <w:r w:rsidR="00D9550D">
        <w:rPr>
          <w:vertAlign w:val="subscript"/>
        </w:rPr>
        <w:t>2</w:t>
      </w:r>
      <w:r w:rsidR="00D9550D">
        <w:t xml:space="preserve"> are oversampling factors in first and second dimensions, respectively. A </w:t>
      </w:r>
      <w:r w:rsidR="000C5ED9">
        <w:t>basis set</w:t>
      </w:r>
      <w:r w:rsidR="00013E49">
        <w:t xml:space="preserve"> </w:t>
      </w:r>
      <w:r w:rsidR="00D9550D">
        <w:t xml:space="preserve">comprises of </w:t>
      </w:r>
      <w:r w:rsidR="00013E49" w:rsidRPr="00E14D3E">
        <w:rPr>
          <w:i/>
        </w:rPr>
        <w:t>L</w:t>
      </w:r>
      <w:r w:rsidR="00013E49" w:rsidRPr="00E14D3E">
        <w:rPr>
          <w:vertAlign w:val="subscript"/>
        </w:rPr>
        <w:t>1</w:t>
      </w:r>
      <w:r w:rsidR="00D9550D">
        <w:t xml:space="preserve"> and </w:t>
      </w:r>
      <w:r w:rsidR="00013E49" w:rsidRPr="00E14D3E">
        <w:rPr>
          <w:i/>
        </w:rPr>
        <w:t>L</w:t>
      </w:r>
      <w:r w:rsidR="00013E49" w:rsidRPr="00E14D3E">
        <w:rPr>
          <w:vertAlign w:val="subscript"/>
        </w:rPr>
        <w:t>2</w:t>
      </w:r>
      <w:r w:rsidR="00D9550D">
        <w:t xml:space="preserve"> uniformly spaced beams</w:t>
      </w:r>
      <w:r w:rsidR="00013E49">
        <w:t xml:space="preserve"> </w:t>
      </w:r>
      <w:r w:rsidR="00D9550D">
        <w:t xml:space="preserve">in the two dimensions. So, the number of beams in a </w:t>
      </w:r>
      <w:r w:rsidR="000C5ED9">
        <w:t>basis set</w:t>
      </w:r>
      <w:r w:rsidR="00D9550D">
        <w:t xml:space="preserve"> is </w:t>
      </w:r>
      <w:r w:rsidR="00D9550D" w:rsidRPr="00E14D3E">
        <w:rPr>
          <w:i/>
        </w:rPr>
        <w:t>L</w:t>
      </w:r>
      <w:r w:rsidR="00D9550D" w:rsidRPr="00E14D3E">
        <w:rPr>
          <w:vertAlign w:val="subscript"/>
        </w:rPr>
        <w:t>1</w:t>
      </w:r>
      <w:r w:rsidR="00D9550D" w:rsidRPr="00E14D3E">
        <w:rPr>
          <w:i/>
        </w:rPr>
        <w:t>L</w:t>
      </w:r>
      <w:r w:rsidR="00D9550D" w:rsidRPr="00E14D3E">
        <w:rPr>
          <w:vertAlign w:val="subscript"/>
        </w:rPr>
        <w:t>2</w:t>
      </w:r>
      <w:r w:rsidR="00D9550D" w:rsidRPr="00D9550D">
        <w:t>.</w:t>
      </w:r>
      <w:r w:rsidR="00013E49">
        <w:t xml:space="preserve"> </w:t>
      </w:r>
      <w:r>
        <w:t xml:space="preserve">The </w:t>
      </w:r>
      <w:r w:rsidR="000C5ED9">
        <w:t>basis set</w:t>
      </w:r>
      <w:r w:rsidR="002B20CB">
        <w:t xml:space="preserve"> is</w:t>
      </w:r>
      <w:r>
        <w:t xml:space="preserve"> </w:t>
      </w:r>
      <w:r w:rsidR="002B20CB">
        <w:t xml:space="preserve">further </w:t>
      </w:r>
      <w:r>
        <w:t>parameterized by beam spacing parameter</w:t>
      </w:r>
      <w:r w:rsidR="002B20CB">
        <w:t>s</w:t>
      </w:r>
      <w:r>
        <w:t xml:space="preserve"> (</w:t>
      </w:r>
      <w:r w:rsidRPr="00E14D3E">
        <w:rPr>
          <w:i/>
        </w:rPr>
        <w:t>p</w:t>
      </w:r>
      <w:r w:rsidRPr="00E14D3E">
        <w:rPr>
          <w:vertAlign w:val="subscript"/>
        </w:rPr>
        <w:t>1</w:t>
      </w:r>
      <w:r>
        <w:t>,</w:t>
      </w:r>
      <w:r w:rsidR="00D9550D">
        <w:t xml:space="preserve"> </w:t>
      </w:r>
      <w:r w:rsidRPr="00E14D3E">
        <w:rPr>
          <w:i/>
        </w:rPr>
        <w:t>p</w:t>
      </w:r>
      <w:r w:rsidRPr="00E14D3E">
        <w:rPr>
          <w:vertAlign w:val="subscript"/>
        </w:rPr>
        <w:t>2</w:t>
      </w:r>
      <w:r>
        <w:t xml:space="preserve">) which represent </w:t>
      </w:r>
      <w:r w:rsidR="002B20CB">
        <w:t xml:space="preserve">spacing between two adjacent beams in two dimensions. A few example values for </w:t>
      </w:r>
      <w:r w:rsidR="00D9550D" w:rsidRPr="00D9550D">
        <w:rPr>
          <w:i/>
        </w:rPr>
        <w:t>L</w:t>
      </w:r>
      <w:r w:rsidR="00D9550D" w:rsidRPr="00D9550D">
        <w:rPr>
          <w:vertAlign w:val="subscript"/>
        </w:rPr>
        <w:t>d</w:t>
      </w:r>
      <w:r w:rsidR="00D9550D">
        <w:t xml:space="preserve"> and </w:t>
      </w:r>
      <w:r w:rsidR="002B20CB" w:rsidRPr="00E14D3E">
        <w:rPr>
          <w:i/>
        </w:rPr>
        <w:t>p</w:t>
      </w:r>
      <w:r w:rsidR="002B20CB">
        <w:rPr>
          <w:vertAlign w:val="subscript"/>
        </w:rPr>
        <w:t>d</w:t>
      </w:r>
      <w:r w:rsidR="002B20CB">
        <w:t xml:space="preserve">, where d = 1, 2 </w:t>
      </w:r>
      <w:r w:rsidR="00D9550D">
        <w:t>belong to</w:t>
      </w:r>
      <w:r w:rsidR="002B20CB">
        <w:t xml:space="preserve"> </w:t>
      </w:r>
      <w:r w:rsidR="00D9550D">
        <w:t>{1,2,…,</w:t>
      </w:r>
      <w:r w:rsidR="00D9550D" w:rsidRPr="00D9550D">
        <w:rPr>
          <w:i/>
        </w:rPr>
        <w:t>N</w:t>
      </w:r>
      <w:r w:rsidR="00D9550D" w:rsidRPr="00D9550D">
        <w:rPr>
          <w:vertAlign w:val="subscript"/>
        </w:rPr>
        <w:t>d</w:t>
      </w:r>
      <w:r w:rsidR="00D9550D">
        <w:t xml:space="preserve">} and </w:t>
      </w:r>
      <w:r w:rsidR="002B20CB">
        <w:t>{1,2,…,</w:t>
      </w:r>
      <w:r w:rsidR="002B20CB" w:rsidRPr="002B20CB">
        <w:rPr>
          <w:i/>
        </w:rPr>
        <w:t>O</w:t>
      </w:r>
      <w:r w:rsidR="002B20CB" w:rsidRPr="002B20CB">
        <w:rPr>
          <w:vertAlign w:val="subscript"/>
        </w:rPr>
        <w:t>d</w:t>
      </w:r>
      <w:r w:rsidR="002B20CB" w:rsidRPr="002B20CB">
        <w:t>}</w:t>
      </w:r>
      <w:r w:rsidR="00D9550D">
        <w:t>, respectively</w:t>
      </w:r>
      <w:r w:rsidR="002B20CB">
        <w:t xml:space="preserve">. </w:t>
      </w:r>
      <w:r w:rsidR="00013E49">
        <w:t xml:space="preserve">An illustration of two types of </w:t>
      </w:r>
      <w:r w:rsidR="000C5ED9">
        <w:t>basis set</w:t>
      </w:r>
      <w:r w:rsidR="00013E49">
        <w:t xml:space="preserve"> is shown in </w:t>
      </w:r>
      <w:r w:rsidR="00013E49">
        <w:fldChar w:fldCharType="begin"/>
      </w:r>
      <w:r w:rsidR="00013E49">
        <w:instrText xml:space="preserve"> REF _Ref453757669 \h </w:instrText>
      </w:r>
      <w:r w:rsidR="002B20CB">
        <w:instrText xml:space="preserve"> \* MERGEFORMAT </w:instrText>
      </w:r>
      <w:r w:rsidR="00013E49">
        <w:fldChar w:fldCharType="separate"/>
      </w:r>
      <w:r w:rsidR="000410E3">
        <w:t xml:space="preserve">Figure </w:t>
      </w:r>
      <w:r w:rsidR="000410E3">
        <w:rPr>
          <w:noProof/>
        </w:rPr>
        <w:t>1</w:t>
      </w:r>
      <w:r w:rsidR="00013E49">
        <w:fldChar w:fldCharType="end"/>
      </w:r>
      <w:r w:rsidR="00013E49">
        <w:t>, where each small square represents a 2D DFT beam. When (</w:t>
      </w:r>
      <w:r w:rsidR="00013E49" w:rsidRPr="003C76AC">
        <w:rPr>
          <w:i/>
        </w:rPr>
        <w:t>p</w:t>
      </w:r>
      <w:r w:rsidR="00013E49" w:rsidRPr="003C76AC">
        <w:rPr>
          <w:vertAlign w:val="subscript"/>
        </w:rPr>
        <w:t>1</w:t>
      </w:r>
      <w:r w:rsidR="00013E49">
        <w:t>,</w:t>
      </w:r>
      <w:r w:rsidR="00D9550D">
        <w:t xml:space="preserve"> </w:t>
      </w:r>
      <w:r w:rsidR="00013E49" w:rsidRPr="003C76AC">
        <w:rPr>
          <w:i/>
        </w:rPr>
        <w:t>p</w:t>
      </w:r>
      <w:r w:rsidR="00013E49" w:rsidRPr="003C76AC">
        <w:rPr>
          <w:vertAlign w:val="subscript"/>
        </w:rPr>
        <w:t>2</w:t>
      </w:r>
      <w:r w:rsidR="00013E49">
        <w:t>) = (1,</w:t>
      </w:r>
      <w:r w:rsidR="00D9550D">
        <w:t xml:space="preserve"> </w:t>
      </w:r>
      <w:r w:rsidR="00013E49">
        <w:t xml:space="preserve">1), the </w:t>
      </w:r>
      <w:r w:rsidR="000C5ED9">
        <w:t>basis set</w:t>
      </w:r>
      <w:r w:rsidR="00013E49">
        <w:t xml:space="preserve"> corresponds to </w:t>
      </w:r>
      <w:r w:rsidR="00013E49" w:rsidRPr="003C76AC">
        <w:rPr>
          <w:i/>
        </w:rPr>
        <w:t>L</w:t>
      </w:r>
      <w:r w:rsidR="00013E49" w:rsidRPr="003C76AC">
        <w:rPr>
          <w:vertAlign w:val="subscript"/>
        </w:rPr>
        <w:t>1</w:t>
      </w:r>
      <w:r w:rsidR="00013E49" w:rsidRPr="003C76AC">
        <w:rPr>
          <w:i/>
        </w:rPr>
        <w:t>L</w:t>
      </w:r>
      <w:r w:rsidR="00013E49" w:rsidRPr="003C76AC">
        <w:rPr>
          <w:vertAlign w:val="subscript"/>
        </w:rPr>
        <w:t>2</w:t>
      </w:r>
      <w:r w:rsidR="00013E49">
        <w:t xml:space="preserve"> closely spaced beams, and when (</w:t>
      </w:r>
      <w:r w:rsidR="00013E49" w:rsidRPr="003C76AC">
        <w:rPr>
          <w:i/>
        </w:rPr>
        <w:t>p</w:t>
      </w:r>
      <w:r w:rsidR="00013E49" w:rsidRPr="003C76AC">
        <w:rPr>
          <w:vertAlign w:val="subscript"/>
        </w:rPr>
        <w:t>1</w:t>
      </w:r>
      <w:r w:rsidR="00013E49">
        <w:t>,</w:t>
      </w:r>
      <w:r w:rsidR="00D9550D">
        <w:t xml:space="preserve"> </w:t>
      </w:r>
      <w:r w:rsidR="00013E49" w:rsidRPr="003C76AC">
        <w:rPr>
          <w:i/>
        </w:rPr>
        <w:t>p</w:t>
      </w:r>
      <w:r w:rsidR="00013E49" w:rsidRPr="003C76AC">
        <w:rPr>
          <w:vertAlign w:val="subscript"/>
        </w:rPr>
        <w:t>2</w:t>
      </w:r>
      <w:r w:rsidR="00013E49">
        <w:t>) = (</w:t>
      </w:r>
      <w:r w:rsidR="00013E49">
        <w:rPr>
          <w:i/>
        </w:rPr>
        <w:t>O</w:t>
      </w:r>
      <w:r w:rsidR="00013E49" w:rsidRPr="003C76AC">
        <w:rPr>
          <w:vertAlign w:val="subscript"/>
        </w:rPr>
        <w:t>1</w:t>
      </w:r>
      <w:r w:rsidR="00013E49">
        <w:t>,</w:t>
      </w:r>
      <w:r w:rsidR="00D9550D">
        <w:t xml:space="preserve"> </w:t>
      </w:r>
      <w:r w:rsidR="00013E49">
        <w:rPr>
          <w:i/>
        </w:rPr>
        <w:t>O</w:t>
      </w:r>
      <w:r w:rsidR="00013E49" w:rsidRPr="003C76AC">
        <w:rPr>
          <w:vertAlign w:val="subscript"/>
        </w:rPr>
        <w:t>2</w:t>
      </w:r>
      <w:r w:rsidR="00013E49">
        <w:t xml:space="preserve">), it corresponds to </w:t>
      </w:r>
      <w:r w:rsidR="00013E49" w:rsidRPr="003C76AC">
        <w:rPr>
          <w:i/>
        </w:rPr>
        <w:t>L</w:t>
      </w:r>
      <w:r w:rsidR="00013E49" w:rsidRPr="003C76AC">
        <w:rPr>
          <w:vertAlign w:val="subscript"/>
        </w:rPr>
        <w:t>1</w:t>
      </w:r>
      <w:r w:rsidR="00013E49" w:rsidRPr="003C76AC">
        <w:rPr>
          <w:i/>
        </w:rPr>
        <w:t>L</w:t>
      </w:r>
      <w:r w:rsidR="00013E49" w:rsidRPr="003C76AC">
        <w:rPr>
          <w:vertAlign w:val="subscript"/>
        </w:rPr>
        <w:t>2</w:t>
      </w:r>
      <w:r w:rsidR="00013E49">
        <w:t xml:space="preserve"> orthogonal beams.</w:t>
      </w:r>
      <w:r w:rsidR="002B20CB">
        <w:t xml:space="preserve"> A UE is configured with one of </w:t>
      </w:r>
      <w:r w:rsidR="00D9550D">
        <w:t>the</w:t>
      </w:r>
      <w:r w:rsidR="002B20CB">
        <w:t xml:space="preserve"> </w:t>
      </w:r>
      <w:r w:rsidR="000C5ED9">
        <w:t>basis set</w:t>
      </w:r>
      <w:r w:rsidR="002B20CB">
        <w:t xml:space="preserve"> types by configuring</w:t>
      </w:r>
      <w:r w:rsidR="00D9550D">
        <w:t xml:space="preserve"> (</w:t>
      </w:r>
      <w:r w:rsidR="00D9550D" w:rsidRPr="00D9550D">
        <w:rPr>
          <w:i/>
        </w:rPr>
        <w:t>L</w:t>
      </w:r>
      <w:r w:rsidR="00D9550D" w:rsidRPr="00E14D3E">
        <w:rPr>
          <w:vertAlign w:val="subscript"/>
        </w:rPr>
        <w:t>1</w:t>
      </w:r>
      <w:r w:rsidR="00D9550D">
        <w:t xml:space="preserve">, </w:t>
      </w:r>
      <w:r w:rsidR="00D9550D">
        <w:rPr>
          <w:i/>
        </w:rPr>
        <w:t>L</w:t>
      </w:r>
      <w:r w:rsidR="00D9550D" w:rsidRPr="00E14D3E">
        <w:rPr>
          <w:vertAlign w:val="subscript"/>
        </w:rPr>
        <w:t>2</w:t>
      </w:r>
      <w:r w:rsidR="00D9550D">
        <w:t>) and</w:t>
      </w:r>
      <w:r w:rsidR="002B20CB">
        <w:t xml:space="preserve"> (</w:t>
      </w:r>
      <w:r w:rsidR="002B20CB" w:rsidRPr="00E14D3E">
        <w:rPr>
          <w:i/>
        </w:rPr>
        <w:t>p</w:t>
      </w:r>
      <w:r w:rsidR="002B20CB" w:rsidRPr="00E14D3E">
        <w:rPr>
          <w:vertAlign w:val="subscript"/>
        </w:rPr>
        <w:t>1</w:t>
      </w:r>
      <w:r w:rsidR="002B20CB">
        <w:t>,</w:t>
      </w:r>
      <w:r w:rsidR="00D9550D">
        <w:t xml:space="preserve"> </w:t>
      </w:r>
      <w:r w:rsidR="002B20CB" w:rsidRPr="00E14D3E">
        <w:rPr>
          <w:i/>
        </w:rPr>
        <w:t>p</w:t>
      </w:r>
      <w:r w:rsidR="002B20CB" w:rsidRPr="00E14D3E">
        <w:rPr>
          <w:vertAlign w:val="subscript"/>
        </w:rPr>
        <w:t>2</w:t>
      </w:r>
      <w:r w:rsidR="002B20CB">
        <w:t>).</w:t>
      </w:r>
      <w:r w:rsidR="00013E49">
        <w:t xml:space="preserve"> </w:t>
      </w:r>
    </w:p>
    <w:p w14:paraId="0F034B53" w14:textId="097FA6FF" w:rsidR="00013E49" w:rsidRDefault="00013E49" w:rsidP="00013E49">
      <w:pPr>
        <w:pStyle w:val="ListParagraph"/>
        <w:numPr>
          <w:ilvl w:val="0"/>
          <w:numId w:val="39"/>
        </w:numPr>
        <w:spacing w:after="0"/>
        <w:ind w:leftChars="0"/>
        <w:contextualSpacing/>
        <w:jc w:val="both"/>
      </w:pPr>
      <w:r w:rsidRPr="00554FE0">
        <w:rPr>
          <w:b/>
          <w:i/>
        </w:rPr>
        <w:t xml:space="preserve">Beam </w:t>
      </w:r>
      <w:r w:rsidR="009F3D99" w:rsidRPr="00554FE0">
        <w:rPr>
          <w:b/>
          <w:i/>
        </w:rPr>
        <w:t xml:space="preserve">group </w:t>
      </w:r>
      <w:r w:rsidRPr="00554FE0">
        <w:rPr>
          <w:b/>
          <w:i/>
        </w:rPr>
        <w:t>selection</w:t>
      </w:r>
      <w:r>
        <w:t xml:space="preserve">: </w:t>
      </w:r>
      <w:r w:rsidRPr="00E14D3E">
        <w:rPr>
          <w:i/>
        </w:rPr>
        <w:t>L</w:t>
      </w:r>
      <w:r w:rsidRPr="00A259B0">
        <w:t xml:space="preserve"> </w:t>
      </w:r>
      <w:r>
        <w:t xml:space="preserve">out </w:t>
      </w:r>
      <w:r w:rsidRPr="003C76AC">
        <w:rPr>
          <w:i/>
        </w:rPr>
        <w:t>L</w:t>
      </w:r>
      <w:r w:rsidRPr="003C76AC">
        <w:rPr>
          <w:vertAlign w:val="subscript"/>
        </w:rPr>
        <w:t>1</w:t>
      </w:r>
      <w:r w:rsidRPr="003C76AC">
        <w:rPr>
          <w:i/>
        </w:rPr>
        <w:t>L</w:t>
      </w:r>
      <w:r w:rsidRPr="003C76AC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beams are </w:t>
      </w:r>
      <w:r w:rsidRPr="00A259B0">
        <w:t>select</w:t>
      </w:r>
      <w:r>
        <w:t>ed</w:t>
      </w:r>
      <w:r w:rsidRPr="00A259B0">
        <w:t xml:space="preserve"> from the </w:t>
      </w:r>
      <w:r>
        <w:t xml:space="preserve">reported </w:t>
      </w:r>
      <w:r w:rsidR="000C5ED9">
        <w:t>basis set</w:t>
      </w:r>
      <w:r>
        <w:t xml:space="preserve">. </w:t>
      </w:r>
      <w:r w:rsidR="0000646D">
        <w:t>A few e</w:t>
      </w:r>
      <w:r>
        <w:t xml:space="preserve">xamples of </w:t>
      </w:r>
      <w:r w:rsidRPr="00E14D3E">
        <w:rPr>
          <w:i/>
        </w:rPr>
        <w:t>L</w:t>
      </w:r>
      <w:r>
        <w:rPr>
          <w:i/>
        </w:rPr>
        <w:t xml:space="preserve"> </w:t>
      </w:r>
      <w:r w:rsidR="0000646D">
        <w:t>values belong to</w:t>
      </w:r>
      <w:r>
        <w:t xml:space="preserve"> </w:t>
      </w:r>
      <w:r w:rsidR="0000646D">
        <w:t>{</w:t>
      </w:r>
      <w:r>
        <w:t xml:space="preserve">1, 2, </w:t>
      </w:r>
      <w:r w:rsidR="00554FE0">
        <w:t>…,</w:t>
      </w:r>
      <w:r>
        <w:t xml:space="preserve"> </w:t>
      </w:r>
      <w:r w:rsidR="00554FE0" w:rsidRPr="003C76AC">
        <w:rPr>
          <w:i/>
        </w:rPr>
        <w:t>L</w:t>
      </w:r>
      <w:r w:rsidR="00554FE0" w:rsidRPr="003C76AC">
        <w:rPr>
          <w:vertAlign w:val="subscript"/>
        </w:rPr>
        <w:t>1</w:t>
      </w:r>
      <w:r w:rsidR="00554FE0" w:rsidRPr="003C76AC">
        <w:rPr>
          <w:i/>
        </w:rPr>
        <w:t>L</w:t>
      </w:r>
      <w:r w:rsidR="00554FE0" w:rsidRPr="003C76AC">
        <w:rPr>
          <w:vertAlign w:val="subscript"/>
        </w:rPr>
        <w:t>2</w:t>
      </w:r>
      <w:r w:rsidR="0000646D" w:rsidRPr="0000646D">
        <w:t>}</w:t>
      </w:r>
      <w:r>
        <w:t xml:space="preserve">. Two alternatives for </w:t>
      </w:r>
      <w:r w:rsidR="0000646D">
        <w:t>the beam</w:t>
      </w:r>
      <w:r>
        <w:t xml:space="preserve"> selection are as follows.</w:t>
      </w:r>
      <w:r w:rsidR="004D0264">
        <w:t xml:space="preserve"> A UE </w:t>
      </w:r>
      <w:r w:rsidR="0000646D">
        <w:t xml:space="preserve">is </w:t>
      </w:r>
      <w:r w:rsidR="004D0264">
        <w:t xml:space="preserve">configured with one of these alternatives. </w:t>
      </w:r>
    </w:p>
    <w:p w14:paraId="0C6D6A6D" w14:textId="77777777" w:rsidR="00013E49" w:rsidRDefault="00013E49" w:rsidP="00013E49">
      <w:pPr>
        <w:pStyle w:val="ListParagraph"/>
        <w:numPr>
          <w:ilvl w:val="1"/>
          <w:numId w:val="39"/>
        </w:numPr>
        <w:spacing w:after="0"/>
        <w:ind w:leftChars="0"/>
        <w:contextualSpacing/>
        <w:jc w:val="both"/>
      </w:pPr>
      <w:r>
        <w:rPr>
          <w:i/>
        </w:rPr>
        <w:t>Parameterized</w:t>
      </w:r>
      <w:r>
        <w:t xml:space="preserve">: The selection of </w:t>
      </w:r>
      <w:r w:rsidRPr="00E14D3E">
        <w:rPr>
          <w:i/>
        </w:rPr>
        <w:t>L</w:t>
      </w:r>
      <w:r>
        <w:t xml:space="preserve"> beams is </w:t>
      </w:r>
      <w:r w:rsidR="00554FE0">
        <w:t xml:space="preserve">fixed and is </w:t>
      </w:r>
      <w:r>
        <w:t>parameter</w:t>
      </w:r>
      <w:r w:rsidR="00554FE0">
        <w:t xml:space="preserve">ized by a codebook parameter </w:t>
      </w:r>
      <w:r w:rsidR="00554FE0" w:rsidRPr="00554FE0">
        <w:rPr>
          <w:i/>
        </w:rPr>
        <w:t>Config</w:t>
      </w:r>
      <w:r>
        <w:t xml:space="preserve">. </w:t>
      </w:r>
      <w:r w:rsidR="00554FE0">
        <w:t>A few examples</w:t>
      </w:r>
      <w:r>
        <w:t xml:space="preserve"> are shown in </w:t>
      </w:r>
      <w:r>
        <w:fldChar w:fldCharType="begin"/>
      </w:r>
      <w:r>
        <w:instrText xml:space="preserve"> REF _Ref454447770 \h  \* MERGEFORMAT </w:instrText>
      </w:r>
      <w:r>
        <w:fldChar w:fldCharType="separate"/>
      </w:r>
      <w:r w:rsidR="000410E3">
        <w:t xml:space="preserve">Figure </w:t>
      </w:r>
      <w:r w:rsidR="000410E3">
        <w:rPr>
          <w:noProof/>
        </w:rPr>
        <w:t>2</w:t>
      </w:r>
      <w:r>
        <w:fldChar w:fldCharType="end"/>
      </w:r>
      <w:r>
        <w:t>.</w:t>
      </w:r>
    </w:p>
    <w:p w14:paraId="5C987EB5" w14:textId="77777777" w:rsidR="00013E49" w:rsidRDefault="00B73D38" w:rsidP="00554FE0">
      <w:pPr>
        <w:keepNext/>
        <w:ind w:left="800"/>
        <w:jc w:val="center"/>
      </w:pPr>
      <w:r>
        <w:object w:dxaOrig="2626" w:dyaOrig="2048" w14:anchorId="263ADB16">
          <v:shape id="_x0000_i1026" type="#_x0000_t75" style="width:160.9pt;height:125.2pt" o:ole="">
            <v:imagedata r:id="rId10" o:title=""/>
          </v:shape>
          <o:OLEObject Type="Embed" ProgID="Visio.Drawing.11" ShapeID="_x0000_i1026" DrawAspect="Content" ObjectID="_1539782342" r:id="rId11"/>
        </w:object>
      </w:r>
    </w:p>
    <w:p w14:paraId="6141DEE9" w14:textId="77777777" w:rsidR="00013E49" w:rsidRPr="00552519" w:rsidRDefault="00013E49" w:rsidP="00554FE0">
      <w:pPr>
        <w:pStyle w:val="Caption"/>
        <w:ind w:left="800"/>
        <w:jc w:val="center"/>
      </w:pPr>
      <w:bookmarkStart w:id="6" w:name="_Ref4544477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10E3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</w:t>
      </w:r>
      <w:r w:rsidR="00554FE0">
        <w:t>Parameterized beam group selection</w:t>
      </w:r>
      <w:r w:rsidR="00970EDD">
        <w:t xml:space="preserve"> assuming (</w:t>
      </w:r>
      <w:r w:rsidR="00970EDD" w:rsidRPr="00970EDD">
        <w:rPr>
          <w:i/>
        </w:rPr>
        <w:t>p</w:t>
      </w:r>
      <w:r w:rsidR="00970EDD" w:rsidRPr="00970EDD">
        <w:rPr>
          <w:vertAlign w:val="subscript"/>
        </w:rPr>
        <w:t>1</w:t>
      </w:r>
      <w:r w:rsidR="00970EDD">
        <w:t xml:space="preserve">, </w:t>
      </w:r>
      <w:r w:rsidR="00970EDD" w:rsidRPr="00970EDD">
        <w:rPr>
          <w:i/>
        </w:rPr>
        <w:t>p</w:t>
      </w:r>
      <w:r w:rsidR="00970EDD" w:rsidRPr="00970EDD">
        <w:rPr>
          <w:vertAlign w:val="subscript"/>
        </w:rPr>
        <w:t>2</w:t>
      </w:r>
      <w:r w:rsidR="00970EDD">
        <w:t>) = (1, 1)</w:t>
      </w:r>
    </w:p>
    <w:p w14:paraId="371185D5" w14:textId="77777777" w:rsidR="00013E49" w:rsidRDefault="00013E49" w:rsidP="0017301B">
      <w:pPr>
        <w:pStyle w:val="ListParagraph"/>
        <w:numPr>
          <w:ilvl w:val="1"/>
          <w:numId w:val="39"/>
        </w:numPr>
        <w:spacing w:after="0" w:line="288" w:lineRule="auto"/>
        <w:ind w:leftChars="0"/>
        <w:contextualSpacing/>
      </w:pPr>
      <w:r w:rsidRPr="00E14D3E">
        <w:rPr>
          <w:i/>
        </w:rPr>
        <w:t>Unconstrained</w:t>
      </w:r>
      <w:r>
        <w:t>:</w:t>
      </w:r>
      <w:r w:rsidR="00B73D38">
        <w:t xml:space="preserve"> The selection of</w:t>
      </w:r>
      <w:r>
        <w:t xml:space="preserve"> </w:t>
      </w:r>
      <w:r w:rsidRPr="00E14D3E">
        <w:rPr>
          <w:i/>
        </w:rPr>
        <w:t>L</w:t>
      </w:r>
      <w:r>
        <w:t xml:space="preserve"> beams is unconstrained and any </w:t>
      </w:r>
      <w:r w:rsidRPr="00E14D3E">
        <w:rPr>
          <w:i/>
        </w:rPr>
        <w:t>L</w:t>
      </w:r>
      <w:r>
        <w:t xml:space="preserve"> out of </w:t>
      </w:r>
      <w:r w:rsidRPr="003C76AC">
        <w:rPr>
          <w:i/>
        </w:rPr>
        <w:t>L</w:t>
      </w:r>
      <w:r w:rsidRPr="003C76AC">
        <w:rPr>
          <w:vertAlign w:val="subscript"/>
        </w:rPr>
        <w:t>1</w:t>
      </w:r>
      <w:r w:rsidRPr="003C76AC">
        <w:rPr>
          <w:i/>
        </w:rPr>
        <w:t>L</w:t>
      </w:r>
      <w:r w:rsidRPr="003C76AC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beams can be reported. </w:t>
      </w:r>
    </w:p>
    <w:p w14:paraId="36481984" w14:textId="77777777" w:rsidR="00B73D38" w:rsidRDefault="00B73D38" w:rsidP="0017301B">
      <w:pPr>
        <w:spacing w:after="0" w:line="288" w:lineRule="auto"/>
        <w:ind w:left="800"/>
        <w:contextualSpacing/>
      </w:pPr>
      <w:r>
        <w:t>The basis after beam selection is give</w:t>
      </w:r>
      <w:r w:rsidR="00D2463F">
        <w:t>n</w:t>
      </w:r>
      <w:r>
        <w:t xml:space="preserve"> by</w:t>
      </w:r>
    </w:p>
    <w:p w14:paraId="0707AE54" w14:textId="77777777" w:rsidR="00B73D38" w:rsidRPr="00B73D38" w:rsidRDefault="00436BF0" w:rsidP="0017301B">
      <w:pPr>
        <w:spacing w:after="0" w:line="288" w:lineRule="auto"/>
        <w:ind w:left="800"/>
        <w:contextualSpacing/>
        <w:jc w:val="center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Batang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Batang"/>
                    <w:i/>
                    <w:lang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mr>
            </m:m>
          </m:e>
        </m:d>
      </m:oMath>
      <w:r w:rsidR="00B73D38">
        <w:rPr>
          <w:lang w:eastAsia="ko-KR"/>
        </w:rPr>
        <w:t>,</w:t>
      </w:r>
    </w:p>
    <w:p w14:paraId="4CB78A08" w14:textId="77777777" w:rsidR="00B73D38" w:rsidRDefault="00B73D38" w:rsidP="0017301B">
      <w:pPr>
        <w:spacing w:line="288" w:lineRule="auto"/>
        <w:ind w:left="806"/>
        <w:contextualSpacing/>
      </w:pPr>
      <w:r>
        <w:lastRenderedPageBreak/>
        <w:t xml:space="preserve">where </w:t>
      </w:r>
      <m:oMath>
        <m:r>
          <w:rPr>
            <w:rFonts w:ascii="Cambria Math" w:hAnsi="Cambria Math"/>
          </w:rPr>
          <m:t>I={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d>
        <m:r>
          <w:rPr>
            <w:rFonts w:ascii="Cambria Math" w:hAnsi="Cambria Math"/>
          </w:rPr>
          <m:t>:l=0,1,…,L-1}</m:t>
        </m:r>
      </m:oMath>
      <w:r>
        <w:t xml:space="preserve"> is the index set of </w:t>
      </w:r>
      <w:r w:rsidRPr="00B73D38">
        <w:rPr>
          <w:i/>
        </w:rPr>
        <w:t>L</w:t>
      </w:r>
      <w:r>
        <w:t xml:space="preserve"> selected beams,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-1}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-1}</m:t>
        </m:r>
      </m:oMath>
      <w:r>
        <w:t>.</w:t>
      </w:r>
    </w:p>
    <w:p w14:paraId="3837339E" w14:textId="77777777" w:rsidR="00013E49" w:rsidRPr="00C353ED" w:rsidRDefault="00013E49" w:rsidP="0017301B">
      <w:pPr>
        <w:pStyle w:val="ListParagraph"/>
        <w:numPr>
          <w:ilvl w:val="0"/>
          <w:numId w:val="39"/>
        </w:numPr>
        <w:spacing w:after="0" w:line="288" w:lineRule="auto"/>
        <w:ind w:leftChars="0"/>
        <w:contextualSpacing/>
      </w:pPr>
      <w:r w:rsidRPr="00B73D38">
        <w:rPr>
          <w:b/>
          <w:i/>
        </w:rPr>
        <w:t>Beam combination</w:t>
      </w:r>
      <w:r w:rsidR="00C353ED">
        <w:rPr>
          <w:i/>
        </w:rPr>
        <w:t>:</w:t>
      </w:r>
      <w:r w:rsidR="007A6805" w:rsidRPr="007A6805">
        <w:t xml:space="preserve"> </w:t>
      </w:r>
      <w:r w:rsidR="007A6805">
        <w:t>S</w:t>
      </w:r>
      <w:r w:rsidR="007A6805" w:rsidRPr="004D0264">
        <w:t>imilar to LTE</w:t>
      </w:r>
      <w:r w:rsidR="007A6805">
        <w:t xml:space="preserve">, if the UE is configured with Type I </w:t>
      </w:r>
      <w:r w:rsidR="00946377">
        <w:t xml:space="preserve">(implicit) </w:t>
      </w:r>
      <w:r w:rsidR="007A6805">
        <w:t xml:space="preserve">CSI reporting, the selected </w:t>
      </w:r>
      <w:r w:rsidR="007A6805" w:rsidRPr="007A6805">
        <w:rPr>
          <w:i/>
        </w:rPr>
        <w:t>L</w:t>
      </w:r>
      <w:r w:rsidR="007A6805">
        <w:t xml:space="preserve"> beams are </w:t>
      </w:r>
      <w:r w:rsidR="00C353ED" w:rsidRPr="004D0264">
        <w:t>linear</w:t>
      </w:r>
      <w:r w:rsidR="007A6805">
        <w:t xml:space="preserve">ly combined (LC) using LC coefficient vector </w:t>
      </w:r>
      <m:oMath>
        <m:r>
          <w:rPr>
            <w:rFonts w:ascii="Cambria Math" w:hAnsi="Cambria Math"/>
          </w:rPr>
          <m:t>c</m:t>
        </m:r>
      </m:oMath>
      <w:r w:rsidR="007A6805">
        <w:t xml:space="preserve"> of size </w:t>
      </w:r>
      <m:oMath>
        <m:r>
          <w:rPr>
            <w:rFonts w:ascii="Cambria Math" w:hAnsi="Cambria Math"/>
          </w:rPr>
          <m:t>2L×1</m:t>
        </m:r>
      </m:oMath>
      <w:r w:rsidR="007A6805">
        <w:t>.</w:t>
      </w:r>
      <w:r w:rsidR="00FB3BB9">
        <w:t xml:space="preserve"> The rank 1 pre-coding vector in this case is given by </w:t>
      </w:r>
      <m:oMath>
        <m:r>
          <w:rPr>
            <w:rFonts w:ascii="Cambria Math" w:hAns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c/</m:t>
        </m:r>
        <m:d>
          <m:dPr>
            <m:begChr m:val="‖"/>
            <m:endChr m:val="‖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c</m:t>
            </m:r>
          </m:e>
        </m:d>
        <m:r>
          <w:rPr>
            <w:rFonts w:ascii="Cambria Math" w:hAnsi="Cambria Math"/>
          </w:rPr>
          <m:t>.</m:t>
        </m:r>
      </m:oMath>
      <w:r w:rsidR="00FB3BB9">
        <w:t xml:space="preserve"> </w:t>
      </w:r>
      <w:r w:rsidR="00C353ED">
        <w:rPr>
          <w:i/>
        </w:rPr>
        <w:t xml:space="preserve"> </w:t>
      </w:r>
      <w:r w:rsidR="00571553">
        <w:rPr>
          <w:i/>
        </w:rPr>
        <w:t xml:space="preserve"> </w:t>
      </w:r>
    </w:p>
    <w:p w14:paraId="38C3FEA7" w14:textId="77777777" w:rsidR="00081E64" w:rsidRPr="00081E64" w:rsidRDefault="00081E64" w:rsidP="0017301B">
      <w:pPr>
        <w:pStyle w:val="ListParagraph"/>
        <w:numPr>
          <w:ilvl w:val="1"/>
          <w:numId w:val="39"/>
        </w:numPr>
        <w:spacing w:after="0" w:line="288" w:lineRule="auto"/>
        <w:ind w:leftChars="0"/>
        <w:contextualSpacing/>
      </w:pPr>
      <w:r>
        <w:t xml:space="preserve">If </w:t>
      </w:r>
      <w:r w:rsidRPr="007A6805">
        <w:rPr>
          <w:i/>
        </w:rPr>
        <w:t>L</w:t>
      </w:r>
      <w:r>
        <w:t xml:space="preserve"> = 1,</w:t>
      </w:r>
      <w:r w:rsidR="007A6805">
        <w:t xml:space="preserve"> the</w:t>
      </w:r>
      <w:r>
        <w:t xml:space="preserve"> LC coefficient</w:t>
      </w:r>
      <w:r w:rsidR="007A6805">
        <w:t xml:space="preserve"> vector corresponds to a </w:t>
      </w:r>
      <w:r>
        <w:t>co</w:t>
      </w:r>
      <w:r w:rsidR="007A6805">
        <w:t xml:space="preserve">-phase vector </w:t>
      </w:r>
      <m:oMath>
        <m:r>
          <w:rPr>
            <w:rFonts w:ascii="Cambria Math" w:hAnsi="Cambria Math"/>
          </w:rPr>
          <m:t>c=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7A6805">
        <w:t>, similar to LTE (up to Rel. 13) codebooks.</w:t>
      </w:r>
      <w:r>
        <w:t xml:space="preserve"> </w:t>
      </w:r>
    </w:p>
    <w:p w14:paraId="520D26BB" w14:textId="77777777" w:rsidR="00C353ED" w:rsidRPr="00C353ED" w:rsidRDefault="00081E64" w:rsidP="0017301B">
      <w:pPr>
        <w:pStyle w:val="ListParagraph"/>
        <w:numPr>
          <w:ilvl w:val="1"/>
          <w:numId w:val="39"/>
        </w:numPr>
        <w:spacing w:after="0" w:line="288" w:lineRule="auto"/>
        <w:ind w:leftChars="0"/>
        <w:contextualSpacing/>
      </w:pPr>
      <w:r>
        <w:rPr>
          <w:i/>
        </w:rPr>
        <w:t>If L &gt;</w:t>
      </w:r>
      <w:r w:rsidR="009F3D99">
        <w:rPr>
          <w:i/>
        </w:rPr>
        <w:t xml:space="preserve"> </w:t>
      </w:r>
      <w:r w:rsidR="009F3D99" w:rsidRPr="0017301B">
        <w:t>1,</w:t>
      </w:r>
      <w:r w:rsidR="009F3D99">
        <w:rPr>
          <w:i/>
        </w:rPr>
        <w:t xml:space="preserve"> </w:t>
      </w:r>
      <w:r w:rsidR="007A6805">
        <w:t xml:space="preserve">the LC coefficient vector corresponds to </w:t>
      </w:r>
      <w:r w:rsidR="00571553">
        <w:t xml:space="preserve">a </w:t>
      </w:r>
      <w:r w:rsidR="007A6805">
        <w:t>beam combination</w:t>
      </w:r>
      <w:r w:rsidR="0017301B">
        <w:t xml:space="preserve"> vector</w:t>
      </w:r>
      <w:r w:rsidR="00571553">
        <w:t xml:space="preserve"> </w:t>
      </w:r>
      <m:oMath>
        <m:r>
          <w:rPr>
            <w:rFonts w:ascii="Cambria Math" w:hAnsi="Cambria Math"/>
          </w:rPr>
          <m:t>c=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⋯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2L-1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571553">
        <w:t>,</w:t>
      </w:r>
      <w:r w:rsidR="0017301B">
        <w:t xml:space="preserve"> similar to combination codebook currently under discussion for advanced CSI codebook in Rel. 14 eFD-MIMO.</w:t>
      </w:r>
      <w:r w:rsidR="009F3D99">
        <w:rPr>
          <w:i/>
        </w:rPr>
        <w:t xml:space="preserve"> </w:t>
      </w:r>
    </w:p>
    <w:p w14:paraId="5D93BA82" w14:textId="77777777" w:rsidR="00C353ED" w:rsidRDefault="000D7BE6" w:rsidP="001D097D">
      <w:pPr>
        <w:pStyle w:val="ListParagraph"/>
        <w:numPr>
          <w:ilvl w:val="0"/>
          <w:numId w:val="39"/>
        </w:numPr>
        <w:spacing w:after="120" w:line="288" w:lineRule="auto"/>
        <w:ind w:leftChars="0"/>
        <w:contextualSpacing/>
      </w:pPr>
      <w:r w:rsidRPr="00946377">
        <w:rPr>
          <w:b/>
          <w:i/>
        </w:rPr>
        <w:t>Explicit feedback</w:t>
      </w:r>
      <w:r w:rsidR="009F3D99" w:rsidRPr="00946377">
        <w:t>:</w:t>
      </w:r>
      <w:r w:rsidR="009F3D99" w:rsidRPr="00946377">
        <w:rPr>
          <w:i/>
        </w:rPr>
        <w:t xml:space="preserve"> </w:t>
      </w:r>
      <w:r w:rsidR="0017301B" w:rsidRPr="00946377">
        <w:t>If the UE is configured with Type II CSI (explicit) reporting, then the UE reports</w:t>
      </w:r>
      <w:r w:rsidR="00546999">
        <w:t xml:space="preserve"> a form of DL</w:t>
      </w:r>
      <w:r w:rsidR="0017301B" w:rsidRPr="00946377">
        <w:t xml:space="preserve"> channel</w:t>
      </w:r>
      <w:r w:rsidR="00546999">
        <w:t xml:space="preserve"> (channel itself or eigenvectors or covariance matrix)</w:t>
      </w:r>
      <w:r w:rsidR="0017301B" w:rsidRPr="00946377">
        <w:t xml:space="preserve"> with (</w:t>
      </w:r>
      <w:r w:rsidR="00546999">
        <w:t>fewer than</w:t>
      </w:r>
      <w:r w:rsidR="0017301B" w:rsidRPr="00946377">
        <w:t xml:space="preserve"> </w:t>
      </w:r>
      <w:r w:rsidR="00546999" w:rsidRPr="00946377">
        <w:t>2</w:t>
      </w:r>
      <w:r w:rsidR="00546999" w:rsidRPr="00946377">
        <w:rPr>
          <w:i/>
        </w:rPr>
        <w:t>N</w:t>
      </w:r>
      <w:r w:rsidR="00546999" w:rsidRPr="00946377">
        <w:rPr>
          <w:vertAlign w:val="subscript"/>
        </w:rPr>
        <w:t>1</w:t>
      </w:r>
      <w:r w:rsidR="00546999" w:rsidRPr="00946377">
        <w:rPr>
          <w:i/>
        </w:rPr>
        <w:t>N</w:t>
      </w:r>
      <w:r w:rsidR="00546999" w:rsidRPr="00946377">
        <w:rPr>
          <w:vertAlign w:val="subscript"/>
        </w:rPr>
        <w:t>2</w:t>
      </w:r>
      <w:r w:rsidR="00546999" w:rsidRPr="00946377">
        <w:t xml:space="preserve"> channel coefficients</w:t>
      </w:r>
      <w:r w:rsidR="0017301B" w:rsidRPr="00946377">
        <w:t>) or without dimension reduction (2</w:t>
      </w:r>
      <w:r w:rsidR="0017301B" w:rsidRPr="00946377">
        <w:rPr>
          <w:i/>
        </w:rPr>
        <w:t>N</w:t>
      </w:r>
      <w:r w:rsidR="0017301B" w:rsidRPr="00946377">
        <w:rPr>
          <w:vertAlign w:val="subscript"/>
        </w:rPr>
        <w:t>1</w:t>
      </w:r>
      <w:r w:rsidR="0017301B" w:rsidRPr="00946377">
        <w:rPr>
          <w:i/>
        </w:rPr>
        <w:t>N</w:t>
      </w:r>
      <w:r w:rsidR="0017301B" w:rsidRPr="00946377">
        <w:rPr>
          <w:vertAlign w:val="subscript"/>
        </w:rPr>
        <w:t>2</w:t>
      </w:r>
      <w:r w:rsidR="0017301B" w:rsidRPr="00946377">
        <w:t xml:space="preserve"> channel coefficients).</w:t>
      </w:r>
      <w:r w:rsidR="00611D17" w:rsidRPr="00946377">
        <w:t xml:space="preserve"> The details about the Type II (explicit) CSI reporting is provided in companion contribution [4].</w:t>
      </w:r>
    </w:p>
    <w:p w14:paraId="0767009F" w14:textId="77777777" w:rsidR="001D097D" w:rsidRPr="005B2743" w:rsidRDefault="001D097D" w:rsidP="001D097D">
      <w:pPr>
        <w:pStyle w:val="maintext"/>
        <w:ind w:firstLineChars="0" w:firstLine="0"/>
      </w:pPr>
      <w:r>
        <w:t xml:space="preserve">As an example, how both Type I and Type II CSI reporting can be configured using the proposed codebook framework is shown in </w:t>
      </w:r>
      <w:r>
        <w:fldChar w:fldCharType="begin"/>
      </w:r>
      <w:r>
        <w:instrText xml:space="preserve"> REF _Ref458518391 \h </w:instrText>
      </w:r>
      <w:r>
        <w:fldChar w:fldCharType="separate"/>
      </w:r>
      <w:r w:rsidR="000410E3">
        <w:t xml:space="preserve">Figure </w:t>
      </w:r>
      <w:r w:rsidR="000410E3">
        <w:rPr>
          <w:noProof/>
        </w:rPr>
        <w:t>3</w:t>
      </w:r>
      <w:r>
        <w:fldChar w:fldCharType="end"/>
      </w:r>
      <w:r>
        <w:t xml:space="preserve">. In this example, the CSI content consists of two subsets, CSI1 and CSI2. The first CSI subset (i.e., CSI1) is common to both Type I and Type II CSIs and indicates the selection of a beam group (comprising of </w:t>
      </w:r>
      <w:r w:rsidRPr="001F6301">
        <w:rPr>
          <w:i/>
        </w:rPr>
        <w:t>L</w:t>
      </w:r>
      <w:r>
        <w:t xml:space="preserve"> beams). CSI1 may also include a rank indicator (i.e., RI) associated with the selected beam group. The second CSI subset (i.e., CSI2) is specific to the CSI type. </w:t>
      </w:r>
    </w:p>
    <w:p w14:paraId="158F7CC0" w14:textId="77777777" w:rsidR="001D097D" w:rsidRPr="005B2743" w:rsidRDefault="001D097D" w:rsidP="001D097D">
      <w:pPr>
        <w:pStyle w:val="maintext"/>
        <w:numPr>
          <w:ilvl w:val="0"/>
          <w:numId w:val="34"/>
        </w:numPr>
        <w:ind w:firstLineChars="0"/>
      </w:pPr>
      <w:r>
        <w:rPr>
          <w:i/>
        </w:rPr>
        <w:t>Type I (l</w:t>
      </w:r>
      <w:r w:rsidRPr="00243720">
        <w:rPr>
          <w:i/>
        </w:rPr>
        <w:t>ow-res</w:t>
      </w:r>
      <w:r>
        <w:rPr>
          <w:i/>
        </w:rPr>
        <w:t xml:space="preserve"> or implicit):</w:t>
      </w:r>
      <w:r>
        <w:t xml:space="preserve"> CSI2 is derived based</w:t>
      </w:r>
      <w:r w:rsidR="0044422A">
        <w:t xml:space="preserve"> on</w:t>
      </w:r>
      <w:r>
        <w:t xml:space="preserve"> implicit CSI feedback framework (e.g. similar to up to LTE Rel. 14) and includes CSI components such as PMI/CQI</w:t>
      </w:r>
      <w:r w:rsidR="000410E3">
        <w:t xml:space="preserve"> where PMI indicates beam combination</w:t>
      </w:r>
      <w:r w:rsidR="00445311">
        <w:t xml:space="preserve"> of </w:t>
      </w:r>
      <w:r w:rsidR="00445311" w:rsidRPr="00445311">
        <w:rPr>
          <w:i/>
        </w:rPr>
        <w:t>L</w:t>
      </w:r>
      <w:r w:rsidR="00445311">
        <w:t xml:space="preserve"> beams</w:t>
      </w:r>
      <w:r>
        <w:t xml:space="preserve">. This </w:t>
      </w:r>
      <w:r w:rsidR="000410E3">
        <w:t>CSI type</w:t>
      </w:r>
      <w:r>
        <w:t xml:space="preserve"> </w:t>
      </w:r>
      <w:r w:rsidR="000410E3">
        <w:t>is</w:t>
      </w:r>
      <w:r>
        <w:t xml:space="preserve"> configured to users who are not capable of reporting high-resolution (explicit) CSI or users who are scheduled for SU transmission. </w:t>
      </w:r>
    </w:p>
    <w:p w14:paraId="3CB192F0" w14:textId="77777777" w:rsidR="001D097D" w:rsidRDefault="001D097D" w:rsidP="000410E3">
      <w:pPr>
        <w:pStyle w:val="maintext"/>
        <w:numPr>
          <w:ilvl w:val="0"/>
          <w:numId w:val="34"/>
        </w:numPr>
        <w:ind w:firstLineChars="0"/>
      </w:pPr>
      <w:r>
        <w:rPr>
          <w:i/>
        </w:rPr>
        <w:t>Type II (h</w:t>
      </w:r>
      <w:r w:rsidRPr="00243720">
        <w:rPr>
          <w:i/>
        </w:rPr>
        <w:t xml:space="preserve">igh-res </w:t>
      </w:r>
      <w:r>
        <w:rPr>
          <w:i/>
        </w:rPr>
        <w:t>or explicit):</w:t>
      </w:r>
      <w:r w:rsidRPr="00E30E8D">
        <w:t xml:space="preserve"> CSI2 is derived</w:t>
      </w:r>
      <w:r>
        <w:t xml:space="preserve"> </w:t>
      </w:r>
      <w:r w:rsidR="0044422A">
        <w:t>based on explicit CSI feedback framework</w:t>
      </w:r>
      <w:r w:rsidR="000410E3">
        <w:t xml:space="preserve"> and hence includes CSI components such </w:t>
      </w:r>
      <w:r w:rsidR="00445311">
        <w:t>as reduced dimensional channel</w:t>
      </w:r>
      <w:r>
        <w:t xml:space="preserve">. This </w:t>
      </w:r>
      <w:r w:rsidR="000410E3">
        <w:t>CSI type</w:t>
      </w:r>
      <w:r>
        <w:t xml:space="preserve"> </w:t>
      </w:r>
      <w:r w:rsidR="000410E3">
        <w:t>is</w:t>
      </w:r>
      <w:r>
        <w:t xml:space="preserve"> configured to users who are capable of reporting </w:t>
      </w:r>
      <w:r w:rsidR="000410E3">
        <w:t xml:space="preserve">explicit CSI </w:t>
      </w:r>
      <w:r>
        <w:t>and can be scheduled for MU transmission.</w:t>
      </w:r>
    </w:p>
    <w:p w14:paraId="035EDC1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92DAB67" w14:textId="7605EB60" w:rsidR="00A80400" w:rsidRDefault="000C5ED9" w:rsidP="001D097D">
      <w:pPr>
        <w:pStyle w:val="Caption"/>
        <w:keepNext/>
        <w:spacing w:before="120"/>
        <w:jc w:val="center"/>
      </w:pPr>
      <w:r>
        <w:object w:dxaOrig="8343" w:dyaOrig="2491" w14:anchorId="3AF3B309">
          <v:shape id="_x0000_i1027" type="#_x0000_t75" style="width:327.45pt;height:97.65pt" o:ole="">
            <v:imagedata r:id="rId12" o:title=""/>
          </v:shape>
          <o:OLEObject Type="Embed" ProgID="Visio.Drawing.11" ShapeID="_x0000_i1027" DrawAspect="Content" ObjectID="_1539782343" r:id="rId13"/>
        </w:object>
      </w:r>
    </w:p>
    <w:p w14:paraId="18157AD8" w14:textId="77777777" w:rsidR="00C42768" w:rsidRDefault="00A80400" w:rsidP="00A80400">
      <w:pPr>
        <w:pStyle w:val="Caption"/>
        <w:jc w:val="center"/>
      </w:pPr>
      <w:bookmarkStart w:id="7" w:name="_Ref4585183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10E3">
        <w:rPr>
          <w:noProof/>
        </w:rPr>
        <w:t>3</w:t>
      </w:r>
      <w:r>
        <w:fldChar w:fldCharType="end"/>
      </w:r>
      <w:bookmarkEnd w:id="7"/>
      <w:r w:rsidR="00070921">
        <w:t xml:space="preserve">: </w:t>
      </w:r>
      <w:r w:rsidR="000410E3">
        <w:t>Type I and Type II CSI reporting under proposed codebook framework</w:t>
      </w:r>
    </w:p>
    <w:p w14:paraId="0B165D94" w14:textId="77777777" w:rsidR="00872417" w:rsidRPr="00D97FB8" w:rsidRDefault="00872417" w:rsidP="00F5167E">
      <w:pPr>
        <w:pStyle w:val="maintext"/>
        <w:ind w:firstLineChars="0" w:firstLine="0"/>
        <w:rPr>
          <w:i/>
        </w:rPr>
      </w:pPr>
      <w:r w:rsidRPr="00D97FB8">
        <w:rPr>
          <w:b/>
          <w:i/>
        </w:rPr>
        <w:t xml:space="preserve">Proposal </w:t>
      </w:r>
      <w:r w:rsidR="00746C0A" w:rsidRPr="00D97FB8">
        <w:rPr>
          <w:b/>
          <w:i/>
        </w:rPr>
        <w:t>2</w:t>
      </w:r>
      <w:r w:rsidRPr="00D97FB8">
        <w:rPr>
          <w:i/>
        </w:rPr>
        <w:t xml:space="preserve">: </w:t>
      </w:r>
      <w:r w:rsidR="005A3F05" w:rsidRPr="00D97FB8">
        <w:rPr>
          <w:i/>
        </w:rPr>
        <w:t xml:space="preserve">NR </w:t>
      </w:r>
      <w:r w:rsidR="00746C0A" w:rsidRPr="00D97FB8">
        <w:rPr>
          <w:i/>
        </w:rPr>
        <w:t xml:space="preserve">codebook framework comprises of at least following </w:t>
      </w:r>
      <w:r w:rsidR="00D97FB8">
        <w:rPr>
          <w:i/>
        </w:rPr>
        <w:t xml:space="preserve">configurable codebook </w:t>
      </w:r>
      <w:r w:rsidR="00746C0A" w:rsidRPr="00D97FB8">
        <w:rPr>
          <w:i/>
        </w:rPr>
        <w:t>components</w:t>
      </w:r>
      <w:r w:rsidR="00983657" w:rsidRPr="00D97FB8">
        <w:rPr>
          <w:i/>
        </w:rPr>
        <w:t>:</w:t>
      </w:r>
    </w:p>
    <w:p w14:paraId="7410B793" w14:textId="15F15AC8" w:rsidR="002B5295" w:rsidRPr="00D97FB8" w:rsidRDefault="000C5ED9" w:rsidP="002B529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Basis set</w:t>
      </w:r>
      <w:r w:rsidR="00D97FB8" w:rsidRPr="00D97FB8">
        <w:rPr>
          <w:i/>
        </w:rPr>
        <w:t xml:space="preserve"> </w:t>
      </w:r>
      <w:r w:rsidR="00D97FB8">
        <w:rPr>
          <w:i/>
        </w:rPr>
        <w:t>for</w:t>
      </w:r>
      <w:r w:rsidR="00D97FB8" w:rsidRPr="00D97FB8">
        <w:rPr>
          <w:i/>
        </w:rPr>
        <w:t xml:space="preserve"> dimension reduction</w:t>
      </w:r>
    </w:p>
    <w:p w14:paraId="405F872D" w14:textId="61568124" w:rsidR="00746C0A" w:rsidRPr="00D97FB8" w:rsidRDefault="00D97FB8" w:rsidP="002B529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L b</w:t>
      </w:r>
      <w:r w:rsidR="00746C0A" w:rsidRPr="00D97FB8">
        <w:rPr>
          <w:i/>
        </w:rPr>
        <w:t>eam selection</w:t>
      </w:r>
      <w:r>
        <w:rPr>
          <w:i/>
        </w:rPr>
        <w:t xml:space="preserve"> from the </w:t>
      </w:r>
      <w:r w:rsidR="000C5ED9">
        <w:rPr>
          <w:i/>
        </w:rPr>
        <w:t>basis set</w:t>
      </w:r>
    </w:p>
    <w:p w14:paraId="2BD19E18" w14:textId="77777777" w:rsidR="00746C0A" w:rsidRPr="00D97FB8" w:rsidRDefault="00D97FB8" w:rsidP="002B529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Beam combination of L selected beams fo</w:t>
      </w:r>
      <w:r w:rsidR="00746C0A" w:rsidRPr="00D97FB8">
        <w:rPr>
          <w:i/>
        </w:rPr>
        <w:t xml:space="preserve">r Type I </w:t>
      </w:r>
      <w:r>
        <w:rPr>
          <w:i/>
        </w:rPr>
        <w:t xml:space="preserve">(implicit) </w:t>
      </w:r>
      <w:r w:rsidR="00746C0A" w:rsidRPr="00D97FB8">
        <w:rPr>
          <w:i/>
        </w:rPr>
        <w:t>CSI reporting</w:t>
      </w:r>
    </w:p>
    <w:p w14:paraId="23AAC2E8" w14:textId="77777777" w:rsidR="00643672" w:rsidRDefault="00643672" w:rsidP="00643672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Channel, eigenvector, or covariance matrix </w:t>
      </w:r>
      <w:r w:rsidR="00746C0A" w:rsidRPr="00D97FB8">
        <w:rPr>
          <w:i/>
        </w:rPr>
        <w:t xml:space="preserve">feedback for Type II </w:t>
      </w:r>
      <w:r w:rsidR="00D97FB8" w:rsidRPr="00D97FB8">
        <w:rPr>
          <w:i/>
        </w:rPr>
        <w:t xml:space="preserve">(explicit) </w:t>
      </w:r>
      <w:r w:rsidR="00746C0A" w:rsidRPr="00D97FB8">
        <w:rPr>
          <w:i/>
        </w:rPr>
        <w:t>CSI reporting</w:t>
      </w:r>
      <w:r w:rsidR="00D97FB8" w:rsidRPr="00D97FB8">
        <w:rPr>
          <w:i/>
        </w:rPr>
        <w:t xml:space="preserve">, </w:t>
      </w:r>
      <w:r>
        <w:rPr>
          <w:i/>
        </w:rPr>
        <w:t xml:space="preserve">where </w:t>
      </w:r>
    </w:p>
    <w:p w14:paraId="6903FCFE" w14:textId="77777777" w:rsidR="00D97FB8" w:rsidRPr="00643672" w:rsidRDefault="00643672" w:rsidP="00643672">
      <w:pPr>
        <w:pStyle w:val="maintext"/>
        <w:numPr>
          <w:ilvl w:val="1"/>
          <w:numId w:val="36"/>
        </w:numPr>
        <w:ind w:firstLineChars="0"/>
        <w:rPr>
          <w:i/>
        </w:rPr>
      </w:pPr>
      <w:r>
        <w:rPr>
          <w:i/>
        </w:rPr>
        <w:t xml:space="preserve">CSI is reported </w:t>
      </w:r>
      <w:r w:rsidR="00D97FB8" w:rsidRPr="00643672">
        <w:rPr>
          <w:i/>
        </w:rPr>
        <w:t>with or without dimension reduction (using L selected beams).</w:t>
      </w:r>
    </w:p>
    <w:p w14:paraId="590D9DC0" w14:textId="77777777" w:rsidR="0032021B" w:rsidRDefault="0051693D" w:rsidP="0032021B">
      <w:pPr>
        <w:pStyle w:val="Heading1"/>
      </w:pPr>
      <w:r>
        <w:t>Conclusions</w:t>
      </w:r>
    </w:p>
    <w:p w14:paraId="7A69A3CA" w14:textId="77777777"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51693D">
        <w:rPr>
          <w:lang w:eastAsia="ko-KR"/>
        </w:rPr>
        <w:t>a codebook design framework</w:t>
      </w:r>
      <w:r w:rsidR="00C256C7">
        <w:rPr>
          <w:lang w:eastAsia="ko-KR"/>
        </w:rPr>
        <w:t xml:space="preserve"> </w:t>
      </w:r>
      <w:r w:rsidR="0051693D">
        <w:rPr>
          <w:lang w:eastAsia="ko-KR"/>
        </w:rPr>
        <w:t xml:space="preserve">for Type I and Type II CSI reporting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41BD82CE" w14:textId="77777777" w:rsidR="00D916EA" w:rsidRPr="0017663C" w:rsidRDefault="00D916EA" w:rsidP="00D916EA">
      <w:pPr>
        <w:pStyle w:val="maintext"/>
        <w:ind w:firstLineChars="0" w:firstLine="0"/>
        <w:rPr>
          <w:i/>
        </w:rPr>
      </w:pPr>
      <w:r w:rsidRPr="0017663C">
        <w:rPr>
          <w:b/>
          <w:i/>
        </w:rPr>
        <w:t>Proposal 1</w:t>
      </w:r>
      <w:r w:rsidRPr="0017663C">
        <w:rPr>
          <w:i/>
        </w:rPr>
        <w:t>: NR codebook should follow at least following design guidelines:</w:t>
      </w:r>
    </w:p>
    <w:p w14:paraId="1E4FED95" w14:textId="77777777" w:rsidR="00D916EA" w:rsidRPr="0017663C" w:rsidRDefault="00D916EA" w:rsidP="00D916EA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17663C">
        <w:rPr>
          <w:i/>
        </w:rPr>
        <w:lastRenderedPageBreak/>
        <w:t xml:space="preserve">Flexible </w:t>
      </w:r>
      <w:r>
        <w:rPr>
          <w:i/>
        </w:rPr>
        <w:t xml:space="preserve">to </w:t>
      </w:r>
      <w:r w:rsidRPr="0017663C">
        <w:rPr>
          <w:i/>
        </w:rPr>
        <w:t xml:space="preserve">support CSI reporting </w:t>
      </w:r>
      <w:r>
        <w:rPr>
          <w:i/>
        </w:rPr>
        <w:t xml:space="preserve">depending on </w:t>
      </w:r>
      <w:r w:rsidR="00307684">
        <w:rPr>
          <w:i/>
        </w:rPr>
        <w:t>user</w:t>
      </w:r>
      <w:r>
        <w:rPr>
          <w:i/>
        </w:rPr>
        <w:t xml:space="preserve"> capabilities</w:t>
      </w:r>
    </w:p>
    <w:p w14:paraId="7B5A314F" w14:textId="77777777" w:rsidR="00D916EA" w:rsidRPr="0017663C" w:rsidRDefault="00D916EA" w:rsidP="00D916EA">
      <w:pPr>
        <w:pStyle w:val="maintext"/>
        <w:numPr>
          <w:ilvl w:val="0"/>
          <w:numId w:val="45"/>
        </w:numPr>
        <w:ind w:firstLineChars="0"/>
        <w:rPr>
          <w:i/>
        </w:rPr>
      </w:pPr>
      <w:r>
        <w:rPr>
          <w:i/>
        </w:rPr>
        <w:t>S</w:t>
      </w:r>
      <w:r w:rsidRPr="0017663C">
        <w:rPr>
          <w:i/>
        </w:rPr>
        <w:t xml:space="preserve">upport for </w:t>
      </w:r>
      <w:r>
        <w:rPr>
          <w:i/>
        </w:rPr>
        <w:t xml:space="preserve">CSI reporting in </w:t>
      </w:r>
      <w:r w:rsidRPr="0017663C">
        <w:rPr>
          <w:i/>
        </w:rPr>
        <w:t>beamformed systems</w:t>
      </w:r>
    </w:p>
    <w:p w14:paraId="4E22AF24" w14:textId="77777777" w:rsidR="00D916EA" w:rsidRPr="0017663C" w:rsidRDefault="00D916EA" w:rsidP="00D916EA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17663C">
        <w:rPr>
          <w:i/>
        </w:rPr>
        <w:t>Unified codebook for both above and below 6 GHz</w:t>
      </w:r>
    </w:p>
    <w:p w14:paraId="23A5D345" w14:textId="77777777" w:rsidR="00D916EA" w:rsidRPr="0017663C" w:rsidRDefault="00D916EA" w:rsidP="00D916EA">
      <w:pPr>
        <w:pStyle w:val="maintext"/>
        <w:numPr>
          <w:ilvl w:val="0"/>
          <w:numId w:val="45"/>
        </w:numPr>
        <w:spacing w:after="120"/>
        <w:ind w:firstLineChars="0"/>
        <w:rPr>
          <w:i/>
        </w:rPr>
      </w:pPr>
      <w:r w:rsidRPr="0017663C">
        <w:rPr>
          <w:i/>
        </w:rPr>
        <w:t>Scalable to support multiple antenna panels, and distributed TRPs.</w:t>
      </w:r>
    </w:p>
    <w:p w14:paraId="2BA6B3B7" w14:textId="77777777" w:rsidR="00FF0B8D" w:rsidRPr="00D97FB8" w:rsidRDefault="00FF0B8D" w:rsidP="00FF0B8D">
      <w:pPr>
        <w:pStyle w:val="maintext"/>
        <w:ind w:firstLineChars="0" w:firstLine="0"/>
        <w:rPr>
          <w:i/>
        </w:rPr>
      </w:pPr>
      <w:r w:rsidRPr="00D97FB8">
        <w:rPr>
          <w:b/>
          <w:i/>
        </w:rPr>
        <w:t>Proposal 2</w:t>
      </w:r>
      <w:r w:rsidRPr="00D97FB8">
        <w:rPr>
          <w:i/>
        </w:rPr>
        <w:t xml:space="preserve">: NR codebook framework comprises of at least following </w:t>
      </w:r>
      <w:r>
        <w:rPr>
          <w:i/>
        </w:rPr>
        <w:t xml:space="preserve">configurable codebook </w:t>
      </w:r>
      <w:r w:rsidRPr="00D97FB8">
        <w:rPr>
          <w:i/>
        </w:rPr>
        <w:t>components:</w:t>
      </w:r>
    </w:p>
    <w:p w14:paraId="35494F6B" w14:textId="31CA99E9" w:rsidR="00FF0B8D" w:rsidRPr="00D97FB8" w:rsidRDefault="000C5ED9" w:rsidP="00FF0B8D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Basis set</w:t>
      </w:r>
      <w:r w:rsidR="00FF0B8D" w:rsidRPr="00D97FB8">
        <w:rPr>
          <w:i/>
        </w:rPr>
        <w:t xml:space="preserve"> </w:t>
      </w:r>
      <w:r w:rsidR="00FF0B8D">
        <w:rPr>
          <w:i/>
        </w:rPr>
        <w:t>for</w:t>
      </w:r>
      <w:r w:rsidR="00FF0B8D" w:rsidRPr="00D97FB8">
        <w:rPr>
          <w:i/>
        </w:rPr>
        <w:t xml:space="preserve"> dimension reduction</w:t>
      </w:r>
    </w:p>
    <w:p w14:paraId="587890D7" w14:textId="645C5E6F" w:rsidR="00FF0B8D" w:rsidRPr="00D97FB8" w:rsidRDefault="00FF0B8D" w:rsidP="00FF0B8D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L b</w:t>
      </w:r>
      <w:r w:rsidRPr="00D97FB8">
        <w:rPr>
          <w:i/>
        </w:rPr>
        <w:t>eam selection</w:t>
      </w:r>
      <w:r>
        <w:rPr>
          <w:i/>
        </w:rPr>
        <w:t xml:space="preserve"> from the </w:t>
      </w:r>
      <w:r w:rsidR="000C5ED9">
        <w:rPr>
          <w:i/>
        </w:rPr>
        <w:t>basis set</w:t>
      </w:r>
    </w:p>
    <w:p w14:paraId="24596132" w14:textId="77777777" w:rsidR="00FF0B8D" w:rsidRPr="00D97FB8" w:rsidRDefault="00FF0B8D" w:rsidP="00FF0B8D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Beam combination of L selected beams fo</w:t>
      </w:r>
      <w:r w:rsidRPr="00D97FB8">
        <w:rPr>
          <w:i/>
        </w:rPr>
        <w:t xml:space="preserve">r Type I </w:t>
      </w:r>
      <w:r>
        <w:rPr>
          <w:i/>
        </w:rPr>
        <w:t xml:space="preserve">(implicit) </w:t>
      </w:r>
      <w:r w:rsidRPr="00D97FB8">
        <w:rPr>
          <w:i/>
        </w:rPr>
        <w:t>CSI reporting</w:t>
      </w:r>
    </w:p>
    <w:p w14:paraId="13F293E2" w14:textId="77777777" w:rsidR="00FF0B8D" w:rsidRDefault="00FF0B8D" w:rsidP="00FF0B8D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Channel, eigenvector, or covariance matrix </w:t>
      </w:r>
      <w:r w:rsidRPr="00D97FB8">
        <w:rPr>
          <w:i/>
        </w:rPr>
        <w:t xml:space="preserve">feedback for Type II (explicit) CSI reporting, </w:t>
      </w:r>
      <w:r>
        <w:rPr>
          <w:i/>
        </w:rPr>
        <w:t xml:space="preserve">where </w:t>
      </w:r>
    </w:p>
    <w:p w14:paraId="5C1FFAF9" w14:textId="77777777" w:rsidR="00FF0B8D" w:rsidRPr="00643672" w:rsidRDefault="00FF0B8D" w:rsidP="00FF0B8D">
      <w:pPr>
        <w:pStyle w:val="maintext"/>
        <w:numPr>
          <w:ilvl w:val="1"/>
          <w:numId w:val="36"/>
        </w:numPr>
        <w:ind w:firstLineChars="0"/>
        <w:rPr>
          <w:i/>
        </w:rPr>
      </w:pPr>
      <w:r>
        <w:rPr>
          <w:i/>
        </w:rPr>
        <w:t xml:space="preserve">CSI is reported </w:t>
      </w:r>
      <w:r w:rsidRPr="00643672">
        <w:rPr>
          <w:i/>
        </w:rPr>
        <w:t>with or without dimension reduction (using L selected beams).</w:t>
      </w:r>
    </w:p>
    <w:p w14:paraId="51EC134C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8AD3993" w14:textId="77777777" w:rsidR="006059EC" w:rsidRDefault="006059EC" w:rsidP="001D097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8" w:name="_Ref449999046"/>
      <w:r w:rsidRPr="006059EC">
        <w:rPr>
          <w:rFonts w:cs="Times New Roman"/>
          <w:lang w:eastAsia="ko-KR"/>
        </w:rPr>
        <w:t>RAN1#86</w:t>
      </w:r>
      <w:r w:rsidR="00E14372">
        <w:rPr>
          <w:rFonts w:cs="Times New Roman"/>
          <w:lang w:eastAsia="ko-KR"/>
        </w:rPr>
        <w:t>b</w:t>
      </w:r>
      <w:r w:rsidRPr="006059EC">
        <w:rPr>
          <w:rFonts w:cs="Times New Roman"/>
          <w:lang w:eastAsia="ko-KR"/>
        </w:rPr>
        <w:t>, Chairman’s notes</w:t>
      </w:r>
    </w:p>
    <w:p w14:paraId="5886BCFA" w14:textId="1047C72D" w:rsidR="008702E9" w:rsidRPr="006059EC" w:rsidRDefault="00694A86" w:rsidP="00D71CA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6059EC">
        <w:rPr>
          <w:rFonts w:cs="Times New Roman"/>
          <w:lang w:eastAsia="ko-KR"/>
        </w:rPr>
        <w:t>R1-16</w:t>
      </w:r>
      <w:r w:rsidR="005E177E">
        <w:rPr>
          <w:rFonts w:cs="Times New Roman"/>
          <w:lang w:eastAsia="ko-KR"/>
        </w:rPr>
        <w:t>12500</w:t>
      </w:r>
      <w:r w:rsidRPr="006059EC">
        <w:rPr>
          <w:rFonts w:cs="Times New Roman"/>
          <w:lang w:eastAsia="ko-KR"/>
        </w:rPr>
        <w:t xml:space="preserve">, </w:t>
      </w:r>
      <w:r w:rsidR="00434309">
        <w:rPr>
          <w:rFonts w:cs="Times New Roman"/>
          <w:lang w:eastAsia="ko-KR"/>
        </w:rPr>
        <w:t>“</w:t>
      </w:r>
      <w:r w:rsidR="00D71CAC" w:rsidRPr="00D71CAC">
        <w:rPr>
          <w:rFonts w:cs="Times New Roman"/>
          <w:lang w:eastAsia="ko-KR"/>
        </w:rPr>
        <w:t>CSI acquisition for DL NR MIMO</w:t>
      </w:r>
      <w:r w:rsidRPr="006059EC"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 w:rsidRPr="006059EC">
        <w:rPr>
          <w:rFonts w:eastAsia="Batang" w:cs="Times New Roman"/>
          <w:lang w:eastAsia="zh-CN"/>
        </w:rPr>
        <w:t xml:space="preserve"> Samsung.</w:t>
      </w:r>
      <w:bookmarkEnd w:id="8"/>
    </w:p>
    <w:p w14:paraId="440CB755" w14:textId="12D2E1A1" w:rsidR="006D1058" w:rsidRPr="00056C0F" w:rsidRDefault="006D1058" w:rsidP="00D71CA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="005E177E">
        <w:rPr>
          <w:rFonts w:cs="Times New Roman"/>
          <w:lang w:eastAsia="ko-KR"/>
        </w:rPr>
        <w:t>-1612501</w:t>
      </w:r>
      <w:r w:rsidRPr="003F00C5">
        <w:rPr>
          <w:rFonts w:cs="Times New Roman"/>
          <w:lang w:eastAsia="ko-KR"/>
        </w:rPr>
        <w:t xml:space="preserve">, </w:t>
      </w:r>
      <w:r w:rsidR="00434309">
        <w:rPr>
          <w:rFonts w:cs="Times New Roman"/>
          <w:lang w:eastAsia="ko-KR"/>
        </w:rPr>
        <w:t>“</w:t>
      </w:r>
      <w:r w:rsidR="00D71CAC" w:rsidRPr="00D71CAC">
        <w:rPr>
          <w:rFonts w:cs="Times New Roman"/>
          <w:lang w:eastAsia="ko-KR"/>
        </w:rPr>
        <w:t xml:space="preserve">CSI acquisition for </w:t>
      </w:r>
      <w:r w:rsidR="00D71CAC">
        <w:rPr>
          <w:rFonts w:cs="Times New Roman"/>
          <w:lang w:eastAsia="ko-KR"/>
        </w:rPr>
        <w:t>U</w:t>
      </w:r>
      <w:r w:rsidR="00D71CAC" w:rsidRPr="00D71CAC">
        <w:rPr>
          <w:rFonts w:cs="Times New Roman"/>
          <w:lang w:eastAsia="ko-KR"/>
        </w:rPr>
        <w:t>L NR MIMO</w:t>
      </w:r>
      <w:r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>
        <w:rPr>
          <w:rFonts w:eastAsia="Batang" w:cs="Times New Roman"/>
          <w:lang w:eastAsia="zh-CN"/>
        </w:rPr>
        <w:t xml:space="preserve"> Samsung.</w:t>
      </w:r>
    </w:p>
    <w:p w14:paraId="36E22307" w14:textId="47D5EB68" w:rsidR="00053D32" w:rsidRPr="006213FD" w:rsidRDefault="005E177E" w:rsidP="0094637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R1-1612502</w:t>
      </w:r>
      <w:r w:rsidR="00053D32">
        <w:rPr>
          <w:rFonts w:eastAsia="Batang" w:cs="Times New Roman"/>
          <w:lang w:eastAsia="zh-CN"/>
        </w:rPr>
        <w:t xml:space="preserve">, </w:t>
      </w:r>
      <w:r w:rsidR="00434309">
        <w:rPr>
          <w:rFonts w:eastAsia="Batang" w:cs="Times New Roman"/>
          <w:lang w:eastAsia="zh-CN"/>
        </w:rPr>
        <w:t>“</w:t>
      </w:r>
      <w:r w:rsidR="00946377" w:rsidRPr="00946377">
        <w:rPr>
          <w:rFonts w:eastAsia="Batang" w:cs="Times New Roman"/>
          <w:lang w:eastAsia="zh-CN"/>
        </w:rPr>
        <w:t>Advanced CSI feedback for NR</w:t>
      </w:r>
      <w:r w:rsidR="00053D32"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 w:rsidR="00053D32">
        <w:rPr>
          <w:rFonts w:eastAsia="Batang" w:cs="Times New Roman"/>
          <w:lang w:eastAsia="zh-CN"/>
        </w:rPr>
        <w:t xml:space="preserve"> Samsung.</w:t>
      </w:r>
      <w:bookmarkStart w:id="9" w:name="_GoBack"/>
      <w:bookmarkEnd w:id="9"/>
    </w:p>
    <w:sectPr w:rsidR="00053D32" w:rsidRPr="006213FD" w:rsidSect="00872417">
      <w:headerReference w:type="default" r:id="rId1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5C14C" w14:textId="77777777" w:rsidR="00436BF0" w:rsidRDefault="00436BF0">
      <w:r>
        <w:separator/>
      </w:r>
    </w:p>
  </w:endnote>
  <w:endnote w:type="continuationSeparator" w:id="0">
    <w:p w14:paraId="06E91FE6" w14:textId="77777777" w:rsidR="00436BF0" w:rsidRDefault="0043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C9C80" w14:textId="77777777" w:rsidR="00436BF0" w:rsidRDefault="00436BF0">
      <w:r>
        <w:separator/>
      </w:r>
    </w:p>
  </w:footnote>
  <w:footnote w:type="continuationSeparator" w:id="0">
    <w:p w14:paraId="451FB768" w14:textId="77777777" w:rsidR="00436BF0" w:rsidRDefault="00436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CB3BD" w14:textId="77777777" w:rsidR="001D097D" w:rsidRDefault="001D09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24E04"/>
    <w:multiLevelType w:val="hybridMultilevel"/>
    <w:tmpl w:val="043A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229C0"/>
    <w:multiLevelType w:val="hybridMultilevel"/>
    <w:tmpl w:val="B4384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B0F77"/>
    <w:multiLevelType w:val="hybridMultilevel"/>
    <w:tmpl w:val="ED9C2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207F1"/>
    <w:multiLevelType w:val="hybridMultilevel"/>
    <w:tmpl w:val="4C48B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49E6"/>
    <w:multiLevelType w:val="hybridMultilevel"/>
    <w:tmpl w:val="83FC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2D4E87"/>
    <w:multiLevelType w:val="hybridMultilevel"/>
    <w:tmpl w:val="B3C07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6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E5E8F"/>
    <w:multiLevelType w:val="hybridMultilevel"/>
    <w:tmpl w:val="587C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0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1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7F5321"/>
    <w:multiLevelType w:val="hybridMultilevel"/>
    <w:tmpl w:val="C4AC7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1"/>
  </w:num>
  <w:num w:numId="4">
    <w:abstractNumId w:val="43"/>
  </w:num>
  <w:num w:numId="5">
    <w:abstractNumId w:val="3"/>
  </w:num>
  <w:num w:numId="6">
    <w:abstractNumId w:val="35"/>
  </w:num>
  <w:num w:numId="7">
    <w:abstractNumId w:val="21"/>
  </w:num>
  <w:num w:numId="8">
    <w:abstractNumId w:val="39"/>
  </w:num>
  <w:num w:numId="9">
    <w:abstractNumId w:val="30"/>
  </w:num>
  <w:num w:numId="10">
    <w:abstractNumId w:val="13"/>
  </w:num>
  <w:num w:numId="11">
    <w:abstractNumId w:val="34"/>
  </w:num>
  <w:num w:numId="12">
    <w:abstractNumId w:val="0"/>
  </w:num>
  <w:num w:numId="13">
    <w:abstractNumId w:val="10"/>
  </w:num>
  <w:num w:numId="14">
    <w:abstractNumId w:val="5"/>
  </w:num>
  <w:num w:numId="15">
    <w:abstractNumId w:val="11"/>
  </w:num>
  <w:num w:numId="16">
    <w:abstractNumId w:val="23"/>
  </w:num>
  <w:num w:numId="17">
    <w:abstractNumId w:val="27"/>
  </w:num>
  <w:num w:numId="18">
    <w:abstractNumId w:val="12"/>
  </w:num>
  <w:num w:numId="19">
    <w:abstractNumId w:val="7"/>
  </w:num>
  <w:num w:numId="20">
    <w:abstractNumId w:val="24"/>
  </w:num>
  <w:num w:numId="21">
    <w:abstractNumId w:val="15"/>
  </w:num>
  <w:num w:numId="22">
    <w:abstractNumId w:val="1"/>
  </w:num>
  <w:num w:numId="23">
    <w:abstractNumId w:val="2"/>
  </w:num>
  <w:num w:numId="24">
    <w:abstractNumId w:val="41"/>
  </w:num>
  <w:num w:numId="25">
    <w:abstractNumId w:val="36"/>
  </w:num>
  <w:num w:numId="26">
    <w:abstractNumId w:val="33"/>
  </w:num>
  <w:num w:numId="27">
    <w:abstractNumId w:val="19"/>
  </w:num>
  <w:num w:numId="28">
    <w:abstractNumId w:val="9"/>
  </w:num>
  <w:num w:numId="29">
    <w:abstractNumId w:val="18"/>
  </w:num>
  <w:num w:numId="30">
    <w:abstractNumId w:val="28"/>
  </w:num>
  <w:num w:numId="31">
    <w:abstractNumId w:val="40"/>
  </w:num>
  <w:num w:numId="32">
    <w:abstractNumId w:val="25"/>
  </w:num>
  <w:num w:numId="33">
    <w:abstractNumId w:val="44"/>
  </w:num>
  <w:num w:numId="34">
    <w:abstractNumId w:val="14"/>
  </w:num>
  <w:num w:numId="35">
    <w:abstractNumId w:val="37"/>
  </w:num>
  <w:num w:numId="36">
    <w:abstractNumId w:val="22"/>
  </w:num>
  <w:num w:numId="37">
    <w:abstractNumId w:val="16"/>
  </w:num>
  <w:num w:numId="38">
    <w:abstractNumId w:val="26"/>
  </w:num>
  <w:num w:numId="39">
    <w:abstractNumId w:val="20"/>
  </w:num>
  <w:num w:numId="40">
    <w:abstractNumId w:val="38"/>
  </w:num>
  <w:num w:numId="41">
    <w:abstractNumId w:val="29"/>
  </w:num>
  <w:num w:numId="42">
    <w:abstractNumId w:val="6"/>
  </w:num>
  <w:num w:numId="43">
    <w:abstractNumId w:val="4"/>
  </w:num>
  <w:num w:numId="44">
    <w:abstractNumId w:val="42"/>
  </w:num>
  <w:num w:numId="45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646D"/>
    <w:rsid w:val="00010921"/>
    <w:rsid w:val="00011005"/>
    <w:rsid w:val="00011A53"/>
    <w:rsid w:val="00011FB1"/>
    <w:rsid w:val="00012357"/>
    <w:rsid w:val="00012D3C"/>
    <w:rsid w:val="00013E49"/>
    <w:rsid w:val="0001401B"/>
    <w:rsid w:val="00015A4D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75ED"/>
    <w:rsid w:val="000410E3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578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5B5"/>
    <w:rsid w:val="00076FF5"/>
    <w:rsid w:val="000775AB"/>
    <w:rsid w:val="00081722"/>
    <w:rsid w:val="00081E64"/>
    <w:rsid w:val="00083457"/>
    <w:rsid w:val="00083DE3"/>
    <w:rsid w:val="0008447D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5ED9"/>
    <w:rsid w:val="000C650F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D7BE6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3D8C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753"/>
    <w:rsid w:val="00135071"/>
    <w:rsid w:val="00135EB0"/>
    <w:rsid w:val="00136E4B"/>
    <w:rsid w:val="00137048"/>
    <w:rsid w:val="00137383"/>
    <w:rsid w:val="001379DE"/>
    <w:rsid w:val="00140E28"/>
    <w:rsid w:val="00143224"/>
    <w:rsid w:val="0014343A"/>
    <w:rsid w:val="00143869"/>
    <w:rsid w:val="00146DE6"/>
    <w:rsid w:val="001471E4"/>
    <w:rsid w:val="00147305"/>
    <w:rsid w:val="001503B7"/>
    <w:rsid w:val="001509AC"/>
    <w:rsid w:val="001536E6"/>
    <w:rsid w:val="0015445A"/>
    <w:rsid w:val="00154BFC"/>
    <w:rsid w:val="0015718B"/>
    <w:rsid w:val="00162392"/>
    <w:rsid w:val="0016292F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01B"/>
    <w:rsid w:val="0017663C"/>
    <w:rsid w:val="00176B67"/>
    <w:rsid w:val="00180AD4"/>
    <w:rsid w:val="00181899"/>
    <w:rsid w:val="0018205C"/>
    <w:rsid w:val="00182E06"/>
    <w:rsid w:val="00184848"/>
    <w:rsid w:val="001850D6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97D"/>
    <w:rsid w:val="001D0B51"/>
    <w:rsid w:val="001D0D60"/>
    <w:rsid w:val="001D0FD7"/>
    <w:rsid w:val="001D24C3"/>
    <w:rsid w:val="001D2861"/>
    <w:rsid w:val="001D3FA1"/>
    <w:rsid w:val="001D4091"/>
    <w:rsid w:val="001D51D6"/>
    <w:rsid w:val="001D524E"/>
    <w:rsid w:val="001D607B"/>
    <w:rsid w:val="001D61B8"/>
    <w:rsid w:val="001D7A27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00E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12D"/>
    <w:rsid w:val="00221965"/>
    <w:rsid w:val="00222B5E"/>
    <w:rsid w:val="002231C0"/>
    <w:rsid w:val="002234ED"/>
    <w:rsid w:val="00223BC8"/>
    <w:rsid w:val="00223C65"/>
    <w:rsid w:val="00225263"/>
    <w:rsid w:val="00225642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3EA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20CB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3FB4"/>
    <w:rsid w:val="002E5EB4"/>
    <w:rsid w:val="002E5EC2"/>
    <w:rsid w:val="002E60AB"/>
    <w:rsid w:val="002E7643"/>
    <w:rsid w:val="002F00C5"/>
    <w:rsid w:val="002F28D8"/>
    <w:rsid w:val="002F2F5B"/>
    <w:rsid w:val="002F2FE6"/>
    <w:rsid w:val="002F47AD"/>
    <w:rsid w:val="002F5790"/>
    <w:rsid w:val="002F6FEC"/>
    <w:rsid w:val="002F7F5A"/>
    <w:rsid w:val="003006CA"/>
    <w:rsid w:val="0030336D"/>
    <w:rsid w:val="00303977"/>
    <w:rsid w:val="00303FBB"/>
    <w:rsid w:val="003052A7"/>
    <w:rsid w:val="003065FD"/>
    <w:rsid w:val="00307684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00"/>
    <w:rsid w:val="00336575"/>
    <w:rsid w:val="00336BCE"/>
    <w:rsid w:val="00337211"/>
    <w:rsid w:val="00337623"/>
    <w:rsid w:val="0034437D"/>
    <w:rsid w:val="00344492"/>
    <w:rsid w:val="00344711"/>
    <w:rsid w:val="003447C2"/>
    <w:rsid w:val="00344954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60211"/>
    <w:rsid w:val="00360F25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864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329D"/>
    <w:rsid w:val="00404B4A"/>
    <w:rsid w:val="00405213"/>
    <w:rsid w:val="0040633D"/>
    <w:rsid w:val="004107E6"/>
    <w:rsid w:val="004124E0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6BF0"/>
    <w:rsid w:val="00437386"/>
    <w:rsid w:val="00440E60"/>
    <w:rsid w:val="00441151"/>
    <w:rsid w:val="00442C0D"/>
    <w:rsid w:val="004430A5"/>
    <w:rsid w:val="0044422A"/>
    <w:rsid w:val="00445311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9751F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3C38"/>
    <w:rsid w:val="004C4315"/>
    <w:rsid w:val="004C48A5"/>
    <w:rsid w:val="004C5D06"/>
    <w:rsid w:val="004C657C"/>
    <w:rsid w:val="004D0264"/>
    <w:rsid w:val="004D026D"/>
    <w:rsid w:val="004D108A"/>
    <w:rsid w:val="004D111C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3171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693D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46999"/>
    <w:rsid w:val="0055167A"/>
    <w:rsid w:val="00553AF5"/>
    <w:rsid w:val="00554FE0"/>
    <w:rsid w:val="00555F2F"/>
    <w:rsid w:val="00560F2D"/>
    <w:rsid w:val="00567B39"/>
    <w:rsid w:val="00571553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90C"/>
    <w:rsid w:val="005A4C2A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177E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739A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D1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038F"/>
    <w:rsid w:val="00640FB2"/>
    <w:rsid w:val="00641F41"/>
    <w:rsid w:val="00642A83"/>
    <w:rsid w:val="00643083"/>
    <w:rsid w:val="00643672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5513"/>
    <w:rsid w:val="00680617"/>
    <w:rsid w:val="00680E45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4A62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E71A5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5FF1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C0A"/>
    <w:rsid w:val="00746D48"/>
    <w:rsid w:val="00750E72"/>
    <w:rsid w:val="00753A41"/>
    <w:rsid w:val="00755AD7"/>
    <w:rsid w:val="00756864"/>
    <w:rsid w:val="00760CE8"/>
    <w:rsid w:val="00761596"/>
    <w:rsid w:val="00761697"/>
    <w:rsid w:val="007625EC"/>
    <w:rsid w:val="00762839"/>
    <w:rsid w:val="007658A6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68B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A6805"/>
    <w:rsid w:val="007B1C28"/>
    <w:rsid w:val="007B299C"/>
    <w:rsid w:val="007B2A97"/>
    <w:rsid w:val="007B398E"/>
    <w:rsid w:val="007B3ED7"/>
    <w:rsid w:val="007B49B4"/>
    <w:rsid w:val="007B6146"/>
    <w:rsid w:val="007B7FE6"/>
    <w:rsid w:val="007C0DB2"/>
    <w:rsid w:val="007C1FEB"/>
    <w:rsid w:val="007C25EB"/>
    <w:rsid w:val="007C3BF0"/>
    <w:rsid w:val="007C5842"/>
    <w:rsid w:val="007C6231"/>
    <w:rsid w:val="007C70A5"/>
    <w:rsid w:val="007C7CD0"/>
    <w:rsid w:val="007C7F3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17509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2EF6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58C"/>
    <w:rsid w:val="008E1B01"/>
    <w:rsid w:val="008E1CBB"/>
    <w:rsid w:val="008E1EB9"/>
    <w:rsid w:val="008E2AE5"/>
    <w:rsid w:val="008E38AD"/>
    <w:rsid w:val="008E686B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31E59"/>
    <w:rsid w:val="009322F2"/>
    <w:rsid w:val="00933BB5"/>
    <w:rsid w:val="0093725F"/>
    <w:rsid w:val="00937E33"/>
    <w:rsid w:val="009446EA"/>
    <w:rsid w:val="00945482"/>
    <w:rsid w:val="00945E21"/>
    <w:rsid w:val="00946377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49F"/>
    <w:rsid w:val="00961820"/>
    <w:rsid w:val="0096225A"/>
    <w:rsid w:val="009623EE"/>
    <w:rsid w:val="00964FE6"/>
    <w:rsid w:val="00967D6D"/>
    <w:rsid w:val="00970ED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89C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872"/>
    <w:rsid w:val="009E4A14"/>
    <w:rsid w:val="009F0D5B"/>
    <w:rsid w:val="009F151F"/>
    <w:rsid w:val="009F1A2B"/>
    <w:rsid w:val="009F307D"/>
    <w:rsid w:val="009F34AE"/>
    <w:rsid w:val="009F3D99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50A"/>
    <w:rsid w:val="00A40AD6"/>
    <w:rsid w:val="00A41899"/>
    <w:rsid w:val="00A42B2B"/>
    <w:rsid w:val="00A44D92"/>
    <w:rsid w:val="00A45CA0"/>
    <w:rsid w:val="00A4626E"/>
    <w:rsid w:val="00A471C4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611E"/>
    <w:rsid w:val="00A66AC1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4ED9"/>
    <w:rsid w:val="00A85506"/>
    <w:rsid w:val="00A85F48"/>
    <w:rsid w:val="00A86177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428"/>
    <w:rsid w:val="00AD6CA7"/>
    <w:rsid w:val="00AD7079"/>
    <w:rsid w:val="00AD7755"/>
    <w:rsid w:val="00AD7D96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5AFC"/>
    <w:rsid w:val="00AF744F"/>
    <w:rsid w:val="00AF75BE"/>
    <w:rsid w:val="00AF78AE"/>
    <w:rsid w:val="00B00399"/>
    <w:rsid w:val="00B009C4"/>
    <w:rsid w:val="00B00C96"/>
    <w:rsid w:val="00B01DB5"/>
    <w:rsid w:val="00B021C4"/>
    <w:rsid w:val="00B04300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0815"/>
    <w:rsid w:val="00B712A8"/>
    <w:rsid w:val="00B71576"/>
    <w:rsid w:val="00B71CD5"/>
    <w:rsid w:val="00B71D72"/>
    <w:rsid w:val="00B73C8D"/>
    <w:rsid w:val="00B73D38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72C6"/>
    <w:rsid w:val="00B93E09"/>
    <w:rsid w:val="00B93EE0"/>
    <w:rsid w:val="00B95489"/>
    <w:rsid w:val="00B96BFE"/>
    <w:rsid w:val="00B97BFE"/>
    <w:rsid w:val="00BA0940"/>
    <w:rsid w:val="00BA13C8"/>
    <w:rsid w:val="00BA267A"/>
    <w:rsid w:val="00BA3A0E"/>
    <w:rsid w:val="00BA3D0B"/>
    <w:rsid w:val="00BA45A2"/>
    <w:rsid w:val="00BA5A0C"/>
    <w:rsid w:val="00BB0244"/>
    <w:rsid w:val="00BB308A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023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3ED"/>
    <w:rsid w:val="00C359D2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A2E"/>
    <w:rsid w:val="00C71F57"/>
    <w:rsid w:val="00C73800"/>
    <w:rsid w:val="00C73A02"/>
    <w:rsid w:val="00C73CD0"/>
    <w:rsid w:val="00C753CF"/>
    <w:rsid w:val="00C75B14"/>
    <w:rsid w:val="00C75CAA"/>
    <w:rsid w:val="00C777BC"/>
    <w:rsid w:val="00C77EA0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3F0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63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40DAB"/>
    <w:rsid w:val="00D4171F"/>
    <w:rsid w:val="00D430D5"/>
    <w:rsid w:val="00D45ED9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1CAC"/>
    <w:rsid w:val="00D72078"/>
    <w:rsid w:val="00D72E1A"/>
    <w:rsid w:val="00D735B7"/>
    <w:rsid w:val="00D74EF6"/>
    <w:rsid w:val="00D76334"/>
    <w:rsid w:val="00D8005F"/>
    <w:rsid w:val="00D8023F"/>
    <w:rsid w:val="00D8190D"/>
    <w:rsid w:val="00D82B0E"/>
    <w:rsid w:val="00D83441"/>
    <w:rsid w:val="00D84E2B"/>
    <w:rsid w:val="00D87747"/>
    <w:rsid w:val="00D87CA4"/>
    <w:rsid w:val="00D90384"/>
    <w:rsid w:val="00D90C34"/>
    <w:rsid w:val="00D916EA"/>
    <w:rsid w:val="00D93BE3"/>
    <w:rsid w:val="00D94390"/>
    <w:rsid w:val="00D945AF"/>
    <w:rsid w:val="00D9542E"/>
    <w:rsid w:val="00D9550D"/>
    <w:rsid w:val="00D957EA"/>
    <w:rsid w:val="00D958E3"/>
    <w:rsid w:val="00D97FB8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2DB6"/>
    <w:rsid w:val="00DE31AD"/>
    <w:rsid w:val="00DE4619"/>
    <w:rsid w:val="00DE714A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37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1A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D00DE"/>
    <w:rsid w:val="00ED048F"/>
    <w:rsid w:val="00ED0992"/>
    <w:rsid w:val="00ED0A8D"/>
    <w:rsid w:val="00ED135E"/>
    <w:rsid w:val="00ED1719"/>
    <w:rsid w:val="00ED337E"/>
    <w:rsid w:val="00ED6C83"/>
    <w:rsid w:val="00EE082D"/>
    <w:rsid w:val="00EE08C5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1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3A3"/>
    <w:rsid w:val="00F2372B"/>
    <w:rsid w:val="00F24402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7F7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4F5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60C0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962"/>
    <w:rsid w:val="00FB3BB9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7D5"/>
    <w:rsid w:val="00FE5C15"/>
    <w:rsid w:val="00FF0B8D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A92EC0"/>
  <w15:docId w15:val="{06061F97-2C23-42CC-88BE-DDB44F39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71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DD3F6-83BB-415E-96B8-694528C2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1666</Words>
  <Characters>9497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6</cp:revision>
  <cp:lastPrinted>2012-03-15T10:36:00Z</cp:lastPrinted>
  <dcterms:created xsi:type="dcterms:W3CDTF">2016-11-02T18:27:00Z</dcterms:created>
  <dcterms:modified xsi:type="dcterms:W3CDTF">2016-11-04T21:33:00Z</dcterms:modified>
</cp:coreProperties>
</file>